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5A07" w14:textId="77777777" w:rsidR="003F0916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color w:val="000000"/>
        </w:rPr>
      </w:pPr>
      <w:r w:rsidRPr="00722058">
        <w:rPr>
          <w:rFonts w:asciiTheme="minorHAnsi" w:hAnsiTheme="minorHAnsi" w:cs="Calibri"/>
          <w:color w:val="000000"/>
        </w:rPr>
        <w:t>„Ośrodek Ws</w:t>
      </w:r>
      <w:r w:rsidR="008E7ACB" w:rsidRPr="00722058">
        <w:rPr>
          <w:rFonts w:asciiTheme="minorHAnsi" w:hAnsiTheme="minorHAnsi" w:cs="Calibri"/>
          <w:color w:val="000000"/>
        </w:rPr>
        <w:t>parcia Ekonomii Społecznej dla regionu k</w:t>
      </w:r>
      <w:r w:rsidRPr="00722058">
        <w:rPr>
          <w:rFonts w:asciiTheme="minorHAnsi" w:hAnsiTheme="minorHAnsi" w:cs="Calibri"/>
          <w:color w:val="000000"/>
        </w:rPr>
        <w:t>oszalińskiego”</w:t>
      </w:r>
    </w:p>
    <w:p w14:paraId="5AD59ED3" w14:textId="77777777" w:rsidR="007B0C54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  <w:color w:val="000000"/>
        </w:rPr>
      </w:pPr>
      <w:r w:rsidRPr="00722058">
        <w:rPr>
          <w:rFonts w:asciiTheme="minorHAnsi" w:hAnsiTheme="minorHAnsi" w:cs="Calibri"/>
          <w:b/>
          <w:color w:val="000000"/>
        </w:rPr>
        <w:t>Program Szkolenia</w:t>
      </w:r>
    </w:p>
    <w:p w14:paraId="503AEE27" w14:textId="77777777" w:rsidR="007B0C54" w:rsidRPr="00722058" w:rsidRDefault="0073794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Prawo zamówień publicznych dla organizacji jako potencjalnych Wykonawców</w:t>
      </w:r>
    </w:p>
    <w:p w14:paraId="7FCF1E6A" w14:textId="00410EB6" w:rsidR="00722058" w:rsidRPr="00722058" w:rsidRDefault="007B0C54" w:rsidP="00737944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</w:rPr>
      </w:pPr>
      <w:r w:rsidRPr="00722058">
        <w:rPr>
          <w:rFonts w:asciiTheme="minorHAnsi" w:hAnsiTheme="minorHAnsi" w:cs="Calibri"/>
        </w:rPr>
        <w:t>Termin:</w:t>
      </w:r>
      <w:r w:rsidR="00C454E8">
        <w:rPr>
          <w:rFonts w:asciiTheme="minorHAnsi" w:hAnsiTheme="minorHAnsi" w:cs="Calibri"/>
        </w:rPr>
        <w:t xml:space="preserve"> 21 czerwca </w:t>
      </w:r>
      <w:bookmarkStart w:id="0" w:name="_GoBack"/>
      <w:bookmarkEnd w:id="0"/>
      <w:r w:rsidR="00D3618C">
        <w:rPr>
          <w:rFonts w:asciiTheme="minorHAnsi" w:hAnsiTheme="minorHAnsi" w:cs="Calibri"/>
          <w:b/>
        </w:rPr>
        <w:t xml:space="preserve"> 2018</w:t>
      </w:r>
      <w:r w:rsidRPr="00722058">
        <w:rPr>
          <w:rFonts w:asciiTheme="minorHAnsi" w:hAnsiTheme="minorHAnsi" w:cs="Calibri"/>
          <w:b/>
        </w:rPr>
        <w:t xml:space="preserve"> r.</w:t>
      </w:r>
    </w:p>
    <w:p w14:paraId="47CEB6F4" w14:textId="77777777" w:rsidR="007B0C54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</w:rPr>
      </w:pPr>
      <w:r w:rsidRPr="00722058">
        <w:rPr>
          <w:rFonts w:asciiTheme="minorHAnsi" w:hAnsiTheme="minorHAnsi" w:cs="Calibri"/>
        </w:rPr>
        <w:t xml:space="preserve">Miejsce szkolenia: </w:t>
      </w:r>
      <w:r w:rsidRPr="00722058">
        <w:rPr>
          <w:rFonts w:asciiTheme="minorHAnsi" w:hAnsiTheme="minorHAnsi" w:cs="Calibri"/>
          <w:b/>
        </w:rPr>
        <w:t>sala szkoleniowa KARR – Koszalin, ul. Przemysłowa 8</w:t>
      </w:r>
    </w:p>
    <w:p w14:paraId="604D7E96" w14:textId="77777777" w:rsidR="007B0C54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</w:rPr>
      </w:pPr>
      <w:r w:rsidRPr="00722058">
        <w:rPr>
          <w:rFonts w:asciiTheme="minorHAnsi" w:hAnsiTheme="minorHAnsi" w:cs="Calibri"/>
        </w:rPr>
        <w:t xml:space="preserve">Trener: </w:t>
      </w:r>
      <w:r w:rsidR="00737944">
        <w:rPr>
          <w:rFonts w:asciiTheme="minorHAnsi" w:hAnsiTheme="minorHAnsi" w:cs="Calibri"/>
          <w:b/>
        </w:rPr>
        <w:t>Paweł Klimek</w:t>
      </w:r>
    </w:p>
    <w:p w14:paraId="17FE396E" w14:textId="77777777" w:rsidR="00722058" w:rsidRPr="00722058" w:rsidRDefault="00722058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</w:rPr>
      </w:pPr>
    </w:p>
    <w:p w14:paraId="0EEDEAE2" w14:textId="77777777" w:rsidR="007B0C54" w:rsidRPr="00722058" w:rsidRDefault="007B0C54" w:rsidP="00722058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asciiTheme="minorHAnsi" w:hAnsiTheme="minorHAnsi" w:cs="Calibri"/>
          <w:b/>
          <w:color w:val="000000"/>
        </w:rPr>
      </w:pPr>
    </w:p>
    <w:tbl>
      <w:tblPr>
        <w:tblpPr w:leftFromText="141" w:rightFromText="141" w:vertAnchor="page" w:horzAnchor="margin" w:tblpY="5785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0"/>
        <w:gridCol w:w="7669"/>
      </w:tblGrid>
      <w:tr w:rsidR="007B0C54" w:rsidRPr="00722058" w14:paraId="077D37DF" w14:textId="77777777" w:rsidTr="00737944">
        <w:trPr>
          <w:trHeight w:val="1201"/>
        </w:trPr>
        <w:tc>
          <w:tcPr>
            <w:tcW w:w="1770" w:type="dxa"/>
            <w:shd w:val="pct5" w:color="auto" w:fill="auto"/>
            <w:vAlign w:val="center"/>
          </w:tcPr>
          <w:p w14:paraId="5858A33C" w14:textId="77777777" w:rsidR="007B0C54" w:rsidRPr="00722058" w:rsidRDefault="007B0C54" w:rsidP="00722058">
            <w:pPr>
              <w:spacing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Godzina</w:t>
            </w:r>
          </w:p>
        </w:tc>
        <w:tc>
          <w:tcPr>
            <w:tcW w:w="7669" w:type="dxa"/>
            <w:shd w:val="pct5" w:color="auto" w:fill="auto"/>
            <w:vAlign w:val="center"/>
          </w:tcPr>
          <w:p w14:paraId="5B7B2B68" w14:textId="77777777" w:rsidR="00737944" w:rsidRPr="00722058" w:rsidRDefault="00737944" w:rsidP="00737944">
            <w:pPr>
              <w:tabs>
                <w:tab w:val="left" w:pos="3402"/>
                <w:tab w:val="left" w:pos="5103"/>
                <w:tab w:val="left" w:pos="8505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Prawo zamówień publicznych dla organizacji jako potencjalnych Wykonawców</w:t>
            </w:r>
          </w:p>
          <w:p w14:paraId="1F3D233A" w14:textId="77777777" w:rsidR="007B0C54" w:rsidRPr="00722058" w:rsidRDefault="007B0C54" w:rsidP="00737944">
            <w:pPr>
              <w:spacing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7B0C54" w:rsidRPr="00722058" w14:paraId="5C3691FB" w14:textId="77777777" w:rsidTr="00737944">
        <w:trPr>
          <w:trHeight w:val="504"/>
        </w:trPr>
        <w:tc>
          <w:tcPr>
            <w:tcW w:w="1770" w:type="dxa"/>
            <w:vAlign w:val="center"/>
          </w:tcPr>
          <w:p w14:paraId="69D52AA5" w14:textId="77777777" w:rsidR="007B0C54" w:rsidRPr="00722058" w:rsidRDefault="007B0C54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</w:rPr>
              <w:t xml:space="preserve">8.00 – 8.30 </w:t>
            </w:r>
          </w:p>
        </w:tc>
        <w:tc>
          <w:tcPr>
            <w:tcW w:w="7669" w:type="dxa"/>
            <w:vAlign w:val="center"/>
          </w:tcPr>
          <w:p w14:paraId="31D1E478" w14:textId="77777777" w:rsidR="007B0C54" w:rsidRPr="00722058" w:rsidRDefault="007B0C54" w:rsidP="00722058">
            <w:pPr>
              <w:spacing w:line="240" w:lineRule="auto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Przyjazd uczestników szkolenia. Rejestracja</w:t>
            </w:r>
          </w:p>
        </w:tc>
      </w:tr>
      <w:tr w:rsidR="007B0C54" w:rsidRPr="00722058" w14:paraId="29CC334E" w14:textId="77777777" w:rsidTr="00737944">
        <w:trPr>
          <w:trHeight w:val="527"/>
        </w:trPr>
        <w:tc>
          <w:tcPr>
            <w:tcW w:w="1770" w:type="dxa"/>
            <w:vAlign w:val="center"/>
          </w:tcPr>
          <w:p w14:paraId="348B217A" w14:textId="77777777"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8.30 – 10.30 </w:t>
            </w:r>
          </w:p>
        </w:tc>
        <w:tc>
          <w:tcPr>
            <w:tcW w:w="7669" w:type="dxa"/>
          </w:tcPr>
          <w:p w14:paraId="456E842B" w14:textId="20F649C6" w:rsidR="007B0C54" w:rsidRDefault="00FE34F5" w:rsidP="00220F1F">
            <w:pPr>
              <w:spacing w:line="276" w:lineRule="auto"/>
              <w:rPr>
                <w:rFonts w:asciiTheme="minorHAnsi" w:hAnsiTheme="minorHAnsi" w:cs="Calibri"/>
              </w:rPr>
            </w:pPr>
            <w:r w:rsidRPr="00FE34F5">
              <w:rPr>
                <w:rFonts w:asciiTheme="minorHAnsi" w:hAnsiTheme="minorHAnsi" w:cs="Calibri"/>
              </w:rPr>
              <w:t>Wprowadzenie do problematyki zamówień publicznych</w:t>
            </w:r>
            <w:r w:rsidR="00865372">
              <w:rPr>
                <w:rFonts w:asciiTheme="minorHAnsi" w:hAnsiTheme="minorHAnsi" w:cs="Calibri"/>
              </w:rPr>
              <w:t xml:space="preserve"> z punktu widzenia </w:t>
            </w:r>
            <w:r w:rsidR="00D22FEF">
              <w:rPr>
                <w:rFonts w:asciiTheme="minorHAnsi" w:hAnsiTheme="minorHAnsi" w:cs="Calibri"/>
              </w:rPr>
              <w:t>podmiotu ekonomii społecznej jako wykonawcy</w:t>
            </w:r>
            <w:r w:rsidR="00AF5F86">
              <w:rPr>
                <w:rFonts w:asciiTheme="minorHAnsi" w:hAnsiTheme="minorHAnsi" w:cs="Calibri"/>
              </w:rPr>
              <w:t>;</w:t>
            </w:r>
          </w:p>
          <w:p w14:paraId="578D367C" w14:textId="08767CFA" w:rsidR="00A42F31" w:rsidRDefault="00A42F31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</w:t>
            </w:r>
            <w:r w:rsidRPr="00A42F31">
              <w:rPr>
                <w:rFonts w:asciiTheme="minorHAnsi" w:hAnsiTheme="minorHAnsi" w:cs="Calibri"/>
              </w:rPr>
              <w:t>akres przedmiotowy obowiązywania ustawy</w:t>
            </w:r>
            <w:r w:rsidR="00AF5F86">
              <w:rPr>
                <w:rFonts w:asciiTheme="minorHAnsi" w:hAnsiTheme="minorHAnsi" w:cs="Calibri"/>
              </w:rPr>
              <w:t>;</w:t>
            </w:r>
          </w:p>
          <w:p w14:paraId="5F70053E" w14:textId="514F04AB" w:rsidR="00FB30BA" w:rsidRDefault="00FB30BA" w:rsidP="00220F1F">
            <w:pPr>
              <w:spacing w:line="276" w:lineRule="auto"/>
            </w:pPr>
            <w:r>
              <w:t>Ogólne zasady udzielania zamówień publicznych w oparciu o ustawę Prawo zamówień publicznych</w:t>
            </w:r>
            <w:r w:rsidR="009C19A2">
              <w:t>, w tym m.in</w:t>
            </w:r>
            <w:r w:rsidR="00894593">
              <w:t>:</w:t>
            </w:r>
            <w:r>
              <w:t xml:space="preserve"> </w:t>
            </w:r>
          </w:p>
          <w:p w14:paraId="1AA11142" w14:textId="52754571" w:rsidR="00FB30BA" w:rsidRDefault="00FB30BA" w:rsidP="00220F1F">
            <w:pPr>
              <w:spacing w:line="276" w:lineRule="auto"/>
            </w:pPr>
            <w:r>
              <w:t>– obowiązek stosowania ustawy Prawo Zamówień Publicznych</w:t>
            </w:r>
            <w:r w:rsidR="002F0283">
              <w:t>,</w:t>
            </w:r>
          </w:p>
          <w:p w14:paraId="2E5B8A00" w14:textId="77777777" w:rsidR="00F33E36" w:rsidRDefault="00F33E36" w:rsidP="00220F1F">
            <w:pPr>
              <w:spacing w:line="276" w:lineRule="auto"/>
            </w:pPr>
            <w:r>
              <w:t>– zasada jawności postępowania o udzielenie zamówienia,</w:t>
            </w:r>
          </w:p>
          <w:p w14:paraId="301FDF5A" w14:textId="69BC8A8A" w:rsidR="00FB30BA" w:rsidRDefault="00FB30BA" w:rsidP="00220F1F">
            <w:pPr>
              <w:spacing w:line="276" w:lineRule="auto"/>
            </w:pPr>
            <w:r>
              <w:t>– obowiązujące progi kwotowe</w:t>
            </w:r>
            <w:r w:rsidR="002F0283">
              <w:t>,</w:t>
            </w:r>
          </w:p>
          <w:p w14:paraId="51C85962" w14:textId="4BED25D6" w:rsidR="00FB30BA" w:rsidRDefault="00FB30BA" w:rsidP="00220F1F">
            <w:pPr>
              <w:spacing w:line="276" w:lineRule="auto"/>
            </w:pPr>
            <w:r>
              <w:t>– podstawowe definicje związane z zamówieniami publicznymi</w:t>
            </w:r>
            <w:r w:rsidR="0078186F">
              <w:t>.</w:t>
            </w:r>
          </w:p>
          <w:p w14:paraId="5890103F" w14:textId="5A85C029" w:rsidR="00FB30BA" w:rsidRPr="00722058" w:rsidRDefault="007372A4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t xml:space="preserve">– Specyfikacja </w:t>
            </w:r>
            <w:r w:rsidR="0058221D">
              <w:t>Istotnych Warunków Zamówienia (SIWZ)</w:t>
            </w:r>
          </w:p>
        </w:tc>
      </w:tr>
      <w:tr w:rsidR="007B0C54" w:rsidRPr="00722058" w14:paraId="151FD3BE" w14:textId="77777777" w:rsidTr="00737944">
        <w:trPr>
          <w:trHeight w:val="893"/>
        </w:trPr>
        <w:tc>
          <w:tcPr>
            <w:tcW w:w="1770" w:type="dxa"/>
            <w:shd w:val="pct5" w:color="auto" w:fill="auto"/>
            <w:vAlign w:val="center"/>
          </w:tcPr>
          <w:p w14:paraId="19D8F8D3" w14:textId="77777777" w:rsidR="007B0C54" w:rsidRPr="00722058" w:rsidRDefault="00C41D85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</w:t>
            </w:r>
            <w:r w:rsidR="007B0C54" w:rsidRPr="00722058">
              <w:rPr>
                <w:rFonts w:asciiTheme="minorHAnsi" w:hAnsiTheme="minorHAnsi" w:cs="Calibri"/>
              </w:rPr>
              <w:t>10.30 – 10.45</w:t>
            </w:r>
          </w:p>
        </w:tc>
        <w:tc>
          <w:tcPr>
            <w:tcW w:w="7669" w:type="dxa"/>
            <w:shd w:val="pct5" w:color="auto" w:fill="auto"/>
            <w:vAlign w:val="center"/>
          </w:tcPr>
          <w:p w14:paraId="33CE870D" w14:textId="77777777" w:rsidR="007B0C54" w:rsidRPr="00722058" w:rsidRDefault="007B0C54" w:rsidP="00722058">
            <w:pPr>
              <w:spacing w:line="240" w:lineRule="auto"/>
              <w:rPr>
                <w:rFonts w:asciiTheme="minorHAnsi" w:hAnsiTheme="minorHAnsi" w:cs="Calibri"/>
                <w:b/>
              </w:rPr>
            </w:pPr>
            <w:r w:rsidRPr="00722058">
              <w:rPr>
                <w:rFonts w:asciiTheme="minorHAnsi" w:hAnsiTheme="minorHAnsi" w:cs="Calibri"/>
                <w:b/>
              </w:rPr>
              <w:t>Przerwa (serwis kawowy)</w:t>
            </w:r>
          </w:p>
        </w:tc>
      </w:tr>
      <w:tr w:rsidR="007B0C54" w:rsidRPr="00722058" w14:paraId="63B0F712" w14:textId="77777777" w:rsidTr="00737944">
        <w:trPr>
          <w:trHeight w:val="991"/>
        </w:trPr>
        <w:tc>
          <w:tcPr>
            <w:tcW w:w="1770" w:type="dxa"/>
            <w:vAlign w:val="center"/>
          </w:tcPr>
          <w:p w14:paraId="010AE796" w14:textId="77777777"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</w:t>
            </w:r>
            <w:r w:rsidRPr="00C41D85">
              <w:rPr>
                <w:rFonts w:asciiTheme="minorHAnsi" w:hAnsiTheme="minorHAnsi" w:cs="Calibri"/>
              </w:rPr>
              <w:t>10.45</w:t>
            </w:r>
            <w:r>
              <w:rPr>
                <w:rFonts w:asciiTheme="minorHAnsi" w:hAnsiTheme="minorHAnsi" w:cs="Calibri"/>
              </w:rPr>
              <w:t xml:space="preserve"> – 12.15 </w:t>
            </w:r>
          </w:p>
        </w:tc>
        <w:tc>
          <w:tcPr>
            <w:tcW w:w="7669" w:type="dxa"/>
          </w:tcPr>
          <w:p w14:paraId="31639CEB" w14:textId="306AA447" w:rsidR="007B0C54" w:rsidRDefault="00C36AB4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Zasady udzielania </w:t>
            </w:r>
            <w:r w:rsidR="00C90BA3">
              <w:rPr>
                <w:rFonts w:asciiTheme="minorHAnsi" w:hAnsiTheme="minorHAnsi" w:cs="Calibri"/>
              </w:rPr>
              <w:t>zamówień publicznych</w:t>
            </w:r>
            <w:r w:rsidR="009C19A2">
              <w:rPr>
                <w:rFonts w:asciiTheme="minorHAnsi" w:hAnsiTheme="minorHAnsi" w:cs="Calibri"/>
              </w:rPr>
              <w:t>,</w:t>
            </w:r>
            <w:r w:rsidR="009C19A2">
              <w:t xml:space="preserve"> w tym m.in</w:t>
            </w:r>
            <w:r w:rsidR="00C90BA3">
              <w:rPr>
                <w:rFonts w:asciiTheme="minorHAnsi" w:hAnsiTheme="minorHAnsi" w:cs="Calibri"/>
              </w:rPr>
              <w:t>:</w:t>
            </w:r>
          </w:p>
          <w:p w14:paraId="77D8C125" w14:textId="32DBDA26" w:rsidR="003E40DD" w:rsidRDefault="003E40DD" w:rsidP="00220F1F">
            <w:pPr>
              <w:spacing w:line="276" w:lineRule="auto"/>
            </w:pPr>
            <w:r>
              <w:t>–</w:t>
            </w:r>
            <w:r w:rsidRPr="00BA0C4C">
              <w:t xml:space="preserve"> tryby udzielania zamówień,</w:t>
            </w:r>
          </w:p>
          <w:p w14:paraId="374CBB66" w14:textId="5EDB03ED" w:rsidR="006738BF" w:rsidRDefault="007170AF" w:rsidP="00220F1F">
            <w:pPr>
              <w:spacing w:line="276" w:lineRule="auto"/>
            </w:pPr>
            <w:r>
              <w:t>– warunki udziału w postępowaniu</w:t>
            </w:r>
            <w:r w:rsidR="0078186F">
              <w:t>,</w:t>
            </w:r>
          </w:p>
          <w:p w14:paraId="1332844D" w14:textId="29456819" w:rsidR="001E1F6A" w:rsidRDefault="001E1F6A" w:rsidP="00220F1F">
            <w:pPr>
              <w:spacing w:line="276" w:lineRule="auto"/>
            </w:pPr>
            <w:r>
              <w:t>– podwykonawstwo</w:t>
            </w:r>
            <w:r w:rsidR="00F76823">
              <w:t>,</w:t>
            </w:r>
          </w:p>
          <w:p w14:paraId="7A67632F" w14:textId="66B75202" w:rsidR="00933623" w:rsidRDefault="00933623" w:rsidP="00220F1F">
            <w:pPr>
              <w:spacing w:line="276" w:lineRule="auto"/>
            </w:pPr>
            <w:r>
              <w:t>– konsorcja oraz podwykonawstwo</w:t>
            </w:r>
            <w:r w:rsidR="00F76823">
              <w:t xml:space="preserve"> w</w:t>
            </w:r>
            <w:r>
              <w:t xml:space="preserve"> </w:t>
            </w:r>
            <w:r w:rsidR="00113CE9">
              <w:t>zamówieniach publicznych</w:t>
            </w:r>
            <w:r w:rsidR="00F76823">
              <w:t>,</w:t>
            </w:r>
          </w:p>
          <w:p w14:paraId="0AF10AA8" w14:textId="079E1CB7" w:rsidR="007170AF" w:rsidRDefault="007170AF" w:rsidP="00220F1F">
            <w:pPr>
              <w:spacing w:line="276" w:lineRule="auto"/>
            </w:pPr>
            <w:r>
              <w:t>– klauzule społeczne jako instrument preferu</w:t>
            </w:r>
            <w:r w:rsidR="00CD711F">
              <w:t>jący podmioty ekonomii społecznej</w:t>
            </w:r>
            <w:r w:rsidR="0078186F">
              <w:t>,</w:t>
            </w:r>
          </w:p>
          <w:p w14:paraId="5176AE43" w14:textId="5072DBF4" w:rsidR="003E40DD" w:rsidRDefault="003E40DD" w:rsidP="00220F1F">
            <w:pPr>
              <w:spacing w:line="276" w:lineRule="auto"/>
            </w:pPr>
            <w:r>
              <w:t>– specyfika regulacji dot. zamówień na usługi społeczne.</w:t>
            </w:r>
          </w:p>
          <w:p w14:paraId="2876129C" w14:textId="77777777" w:rsidR="00415B94" w:rsidRDefault="00EF3F25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t>Przebieg</w:t>
            </w:r>
            <w:r w:rsidR="00180CFE">
              <w:t xml:space="preserve"> postepowania o udzielenie zamówienia publicznego</w:t>
            </w:r>
            <w:r w:rsidR="00786290">
              <w:t xml:space="preserve"> z punktu widzenia praw i obowiązków wykonawcy</w:t>
            </w:r>
            <w:r w:rsidR="00D917EC">
              <w:t>, w tym m.in</w:t>
            </w:r>
            <w:r w:rsidR="00D917EC">
              <w:rPr>
                <w:rFonts w:asciiTheme="minorHAnsi" w:hAnsiTheme="minorHAnsi" w:cs="Calibri"/>
              </w:rPr>
              <w:t>:</w:t>
            </w:r>
          </w:p>
          <w:p w14:paraId="3BCB115A" w14:textId="77777777" w:rsidR="001C6C21" w:rsidRDefault="001C6C21" w:rsidP="00220F1F">
            <w:pPr>
              <w:spacing w:line="276" w:lineRule="auto"/>
            </w:pPr>
            <w:r>
              <w:t>- terminy składania ofert,</w:t>
            </w:r>
          </w:p>
          <w:p w14:paraId="5C92F116" w14:textId="77777777" w:rsidR="00D917EC" w:rsidRDefault="001C6C21" w:rsidP="00220F1F">
            <w:pPr>
              <w:spacing w:line="276" w:lineRule="auto"/>
            </w:pPr>
            <w:r>
              <w:t>- zmiany w zakresie elementów SIWZ - wyjaśnienia, modyfikacja,</w:t>
            </w:r>
          </w:p>
          <w:p w14:paraId="737C79E2" w14:textId="1D50A56F" w:rsidR="009862BD" w:rsidRDefault="009862BD" w:rsidP="00220F1F">
            <w:pPr>
              <w:spacing w:line="276" w:lineRule="auto"/>
            </w:pPr>
            <w:r>
              <w:t xml:space="preserve">- </w:t>
            </w:r>
            <w:r w:rsidR="00A76172">
              <w:t>ważność oferty</w:t>
            </w:r>
            <w:r w:rsidR="00D1511A">
              <w:t>,</w:t>
            </w:r>
          </w:p>
          <w:p w14:paraId="7353840A" w14:textId="39E756C3" w:rsidR="000B2172" w:rsidRDefault="000B2172" w:rsidP="00220F1F">
            <w:pPr>
              <w:spacing w:line="276" w:lineRule="auto"/>
            </w:pPr>
            <w:r>
              <w:lastRenderedPageBreak/>
              <w:t xml:space="preserve">- </w:t>
            </w:r>
            <w:r w:rsidR="00674CBE">
              <w:t>wadium</w:t>
            </w:r>
            <w:r w:rsidR="00D1511A">
              <w:t>,</w:t>
            </w:r>
          </w:p>
          <w:p w14:paraId="1A630484" w14:textId="0D4341AB" w:rsidR="00674CBE" w:rsidRPr="005A637F" w:rsidRDefault="0019576E" w:rsidP="00220F1F">
            <w:pPr>
              <w:spacing w:line="276" w:lineRule="auto"/>
            </w:pPr>
            <w:r>
              <w:t xml:space="preserve">- </w:t>
            </w:r>
            <w:r w:rsidR="003F51A7">
              <w:t xml:space="preserve">przesłanki </w:t>
            </w:r>
            <w:r w:rsidR="00187023">
              <w:t>odrzucenia oferty i wykluczenia z postępowania.</w:t>
            </w:r>
          </w:p>
        </w:tc>
      </w:tr>
      <w:tr w:rsidR="007B0C54" w:rsidRPr="00722058" w14:paraId="72F8DBB6" w14:textId="77777777" w:rsidTr="00737944">
        <w:trPr>
          <w:trHeight w:val="872"/>
        </w:trPr>
        <w:tc>
          <w:tcPr>
            <w:tcW w:w="1770" w:type="dxa"/>
            <w:shd w:val="pct5" w:color="auto" w:fill="auto"/>
            <w:vAlign w:val="center"/>
          </w:tcPr>
          <w:p w14:paraId="17035EF2" w14:textId="77777777" w:rsidR="007B0C54" w:rsidRPr="00722058" w:rsidRDefault="00C41D85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 xml:space="preserve"> </w:t>
            </w:r>
            <w:r w:rsidR="007B0C54" w:rsidRPr="00722058">
              <w:rPr>
                <w:rFonts w:asciiTheme="minorHAnsi" w:hAnsiTheme="minorHAnsi" w:cs="Calibri"/>
              </w:rPr>
              <w:t>12.15 – 12.45</w:t>
            </w:r>
          </w:p>
        </w:tc>
        <w:tc>
          <w:tcPr>
            <w:tcW w:w="7669" w:type="dxa"/>
            <w:shd w:val="pct5" w:color="auto" w:fill="auto"/>
            <w:vAlign w:val="center"/>
          </w:tcPr>
          <w:p w14:paraId="775E2D32" w14:textId="77777777" w:rsidR="007B0C54" w:rsidRPr="00722058" w:rsidRDefault="007B0C54" w:rsidP="00722058">
            <w:pPr>
              <w:spacing w:line="240" w:lineRule="auto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  <w:b/>
              </w:rPr>
              <w:t>Przerwa obiadowa</w:t>
            </w:r>
          </w:p>
        </w:tc>
      </w:tr>
      <w:tr w:rsidR="007B0C54" w:rsidRPr="00722058" w14:paraId="155855F6" w14:textId="77777777" w:rsidTr="00737944">
        <w:trPr>
          <w:trHeight w:val="504"/>
        </w:trPr>
        <w:tc>
          <w:tcPr>
            <w:tcW w:w="1770" w:type="dxa"/>
            <w:vAlign w:val="center"/>
          </w:tcPr>
          <w:p w14:paraId="5011BB65" w14:textId="77777777"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12.45 – 14.15 </w:t>
            </w:r>
          </w:p>
        </w:tc>
        <w:tc>
          <w:tcPr>
            <w:tcW w:w="7669" w:type="dxa"/>
          </w:tcPr>
          <w:p w14:paraId="02A46711" w14:textId="3591AE74" w:rsidR="00044DAC" w:rsidRDefault="00B6690B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Analiza ogłoszenia </w:t>
            </w:r>
            <w:r w:rsidR="00241E03">
              <w:rPr>
                <w:rFonts w:asciiTheme="minorHAnsi" w:hAnsiTheme="minorHAnsi" w:cs="Calibri"/>
              </w:rPr>
              <w:t xml:space="preserve">o zamówieniu </w:t>
            </w:r>
            <w:r>
              <w:rPr>
                <w:rFonts w:asciiTheme="minorHAnsi" w:hAnsiTheme="minorHAnsi" w:cs="Calibri"/>
              </w:rPr>
              <w:t xml:space="preserve">i </w:t>
            </w:r>
            <w:r w:rsidR="00DC6417">
              <w:rPr>
                <w:rFonts w:asciiTheme="minorHAnsi" w:hAnsiTheme="minorHAnsi" w:cs="Calibri"/>
              </w:rPr>
              <w:t>S</w:t>
            </w:r>
            <w:r w:rsidR="00F26C3A">
              <w:rPr>
                <w:rFonts w:asciiTheme="minorHAnsi" w:hAnsiTheme="minorHAnsi" w:cs="Calibri"/>
              </w:rPr>
              <w:t>pecyfikacj</w:t>
            </w:r>
            <w:r w:rsidR="00DC6417">
              <w:rPr>
                <w:rFonts w:asciiTheme="minorHAnsi" w:hAnsiTheme="minorHAnsi" w:cs="Calibri"/>
              </w:rPr>
              <w:t>a</w:t>
            </w:r>
            <w:r w:rsidR="006C20D1">
              <w:rPr>
                <w:rFonts w:asciiTheme="minorHAnsi" w:hAnsiTheme="minorHAnsi" w:cs="Calibri"/>
              </w:rPr>
              <w:t xml:space="preserve"> </w:t>
            </w:r>
            <w:r w:rsidR="00D1511A">
              <w:rPr>
                <w:rFonts w:asciiTheme="minorHAnsi" w:hAnsiTheme="minorHAnsi" w:cs="Calibri"/>
              </w:rPr>
              <w:t>I</w:t>
            </w:r>
            <w:r w:rsidR="006C20D1">
              <w:rPr>
                <w:rFonts w:asciiTheme="minorHAnsi" w:hAnsiTheme="minorHAnsi" w:cs="Calibri"/>
              </w:rPr>
              <w:t xml:space="preserve">stotnych </w:t>
            </w:r>
            <w:r w:rsidR="00D1511A">
              <w:rPr>
                <w:rFonts w:asciiTheme="minorHAnsi" w:hAnsiTheme="minorHAnsi" w:cs="Calibri"/>
              </w:rPr>
              <w:t>W</w:t>
            </w:r>
            <w:r w:rsidR="006C20D1">
              <w:rPr>
                <w:rFonts w:asciiTheme="minorHAnsi" w:hAnsiTheme="minorHAnsi" w:cs="Calibri"/>
              </w:rPr>
              <w:t xml:space="preserve">arunków </w:t>
            </w:r>
            <w:r w:rsidR="00D1511A">
              <w:rPr>
                <w:rFonts w:asciiTheme="minorHAnsi" w:hAnsiTheme="minorHAnsi" w:cs="Calibri"/>
              </w:rPr>
              <w:t>Z</w:t>
            </w:r>
            <w:r w:rsidR="006C20D1">
              <w:rPr>
                <w:rFonts w:asciiTheme="minorHAnsi" w:hAnsiTheme="minorHAnsi" w:cs="Calibri"/>
              </w:rPr>
              <w:t>amówienia (</w:t>
            </w:r>
            <w:r w:rsidR="00940C95">
              <w:rPr>
                <w:rFonts w:asciiTheme="minorHAnsi" w:hAnsiTheme="minorHAnsi" w:cs="Calibri"/>
              </w:rPr>
              <w:t>SIWZ</w:t>
            </w:r>
            <w:r w:rsidR="006C20D1">
              <w:rPr>
                <w:rFonts w:asciiTheme="minorHAnsi" w:hAnsiTheme="minorHAnsi" w:cs="Calibri"/>
              </w:rPr>
              <w:t xml:space="preserve">) </w:t>
            </w:r>
            <w:r w:rsidR="00055BF9">
              <w:rPr>
                <w:rFonts w:asciiTheme="minorHAnsi" w:hAnsiTheme="minorHAnsi" w:cs="Calibri"/>
              </w:rPr>
              <w:t>w praktyce</w:t>
            </w:r>
            <w:r w:rsidR="00D42B5E">
              <w:rPr>
                <w:rFonts w:asciiTheme="minorHAnsi" w:hAnsiTheme="minorHAnsi" w:cs="Calibri"/>
              </w:rPr>
              <w:t>;</w:t>
            </w:r>
          </w:p>
          <w:p w14:paraId="73FB14E6" w14:textId="39A29AA9" w:rsidR="00D42B5E" w:rsidRDefault="00D42B5E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Praktyka udziału w postępowania</w:t>
            </w:r>
            <w:r w:rsidR="002405D9">
              <w:rPr>
                <w:rFonts w:asciiTheme="minorHAnsi" w:hAnsiTheme="minorHAnsi" w:cs="Calibri"/>
              </w:rPr>
              <w:t>ch</w:t>
            </w:r>
            <w:r>
              <w:rPr>
                <w:rFonts w:asciiTheme="minorHAnsi" w:hAnsiTheme="minorHAnsi" w:cs="Calibri"/>
              </w:rPr>
              <w:t xml:space="preserve"> i przygotowania konkurencyjnych ofert.</w:t>
            </w:r>
          </w:p>
          <w:p w14:paraId="534EE948" w14:textId="7707D5DD" w:rsidR="00D42B5E" w:rsidRPr="00722058" w:rsidRDefault="00D42B5E" w:rsidP="00722058">
            <w:pPr>
              <w:spacing w:line="240" w:lineRule="auto"/>
              <w:rPr>
                <w:rFonts w:asciiTheme="minorHAnsi" w:hAnsiTheme="minorHAnsi" w:cs="Calibri"/>
              </w:rPr>
            </w:pPr>
          </w:p>
        </w:tc>
      </w:tr>
      <w:tr w:rsidR="007B0C54" w:rsidRPr="00722058" w14:paraId="12AD13D0" w14:textId="77777777" w:rsidTr="00737944">
        <w:trPr>
          <w:trHeight w:val="995"/>
        </w:trPr>
        <w:tc>
          <w:tcPr>
            <w:tcW w:w="17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8E679EF" w14:textId="77777777" w:rsidR="007B0C54" w:rsidRPr="00722058" w:rsidRDefault="00C41D85" w:rsidP="00722058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7B0C54" w:rsidRPr="00722058">
              <w:rPr>
                <w:rFonts w:asciiTheme="minorHAnsi" w:hAnsiTheme="minorHAnsi" w:cs="Calibri"/>
              </w:rPr>
              <w:t>14.15 – 14.30</w:t>
            </w:r>
          </w:p>
        </w:tc>
        <w:tc>
          <w:tcPr>
            <w:tcW w:w="7669" w:type="dxa"/>
            <w:tcBorders>
              <w:bottom w:val="single" w:sz="4" w:space="0" w:color="auto"/>
            </w:tcBorders>
            <w:shd w:val="pct5" w:color="auto" w:fill="auto"/>
          </w:tcPr>
          <w:p w14:paraId="7EE542E7" w14:textId="77777777" w:rsidR="000D68E7" w:rsidRDefault="000D68E7" w:rsidP="00722058">
            <w:pPr>
              <w:spacing w:line="240" w:lineRule="auto"/>
              <w:rPr>
                <w:rFonts w:asciiTheme="minorHAnsi" w:hAnsiTheme="minorHAnsi" w:cs="Calibri"/>
                <w:b/>
              </w:rPr>
            </w:pPr>
          </w:p>
          <w:p w14:paraId="3CE0AF2D" w14:textId="31B81AB4" w:rsidR="007B0C54" w:rsidRPr="00722058" w:rsidRDefault="007B0C54" w:rsidP="00722058">
            <w:pPr>
              <w:spacing w:line="240" w:lineRule="auto"/>
              <w:rPr>
                <w:rFonts w:asciiTheme="minorHAnsi" w:hAnsiTheme="minorHAnsi" w:cs="Calibri"/>
              </w:rPr>
            </w:pPr>
            <w:r w:rsidRPr="00722058">
              <w:rPr>
                <w:rFonts w:asciiTheme="minorHAnsi" w:hAnsiTheme="minorHAnsi" w:cs="Calibri"/>
                <w:b/>
              </w:rPr>
              <w:t>Przerwa (serwis kawowy)</w:t>
            </w:r>
          </w:p>
        </w:tc>
      </w:tr>
      <w:tr w:rsidR="007B0C54" w:rsidRPr="00722058" w14:paraId="50DAD446" w14:textId="77777777" w:rsidTr="00737944">
        <w:trPr>
          <w:trHeight w:val="995"/>
        </w:trPr>
        <w:tc>
          <w:tcPr>
            <w:tcW w:w="1770" w:type="dxa"/>
            <w:shd w:val="clear" w:color="auto" w:fill="auto"/>
            <w:vAlign w:val="center"/>
          </w:tcPr>
          <w:p w14:paraId="14DDCA76" w14:textId="77777777" w:rsidR="007B0C54" w:rsidRPr="00C41D85" w:rsidRDefault="00C41D85" w:rsidP="00C41D85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</w:t>
            </w:r>
            <w:r w:rsidRPr="00C41D85">
              <w:rPr>
                <w:rFonts w:asciiTheme="minorHAnsi" w:hAnsiTheme="minorHAnsi" w:cs="Calibri"/>
              </w:rPr>
              <w:t xml:space="preserve">14.30  - 15.30 </w:t>
            </w:r>
          </w:p>
        </w:tc>
        <w:tc>
          <w:tcPr>
            <w:tcW w:w="7669" w:type="dxa"/>
            <w:shd w:val="clear" w:color="auto" w:fill="auto"/>
          </w:tcPr>
          <w:p w14:paraId="5FB4AB03" w14:textId="2D0B2B0E" w:rsidR="007B0C54" w:rsidRDefault="009831B4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Umowy w zam</w:t>
            </w:r>
            <w:r w:rsidR="005521C1">
              <w:rPr>
                <w:rFonts w:asciiTheme="minorHAnsi" w:hAnsiTheme="minorHAnsi" w:cs="Calibri"/>
              </w:rPr>
              <w:t>ówieniach publicznych</w:t>
            </w:r>
            <w:r w:rsidR="00804130">
              <w:rPr>
                <w:rFonts w:asciiTheme="minorHAnsi" w:hAnsiTheme="minorHAnsi" w:cs="Calibri"/>
              </w:rPr>
              <w:t>,</w:t>
            </w:r>
            <w:r w:rsidR="00804130">
              <w:t xml:space="preserve"> w tym m.in</w:t>
            </w:r>
            <w:r w:rsidR="00804130">
              <w:rPr>
                <w:rFonts w:asciiTheme="minorHAnsi" w:hAnsiTheme="minorHAnsi" w:cs="Calibri"/>
              </w:rPr>
              <w:t>:</w:t>
            </w:r>
          </w:p>
          <w:p w14:paraId="454159A0" w14:textId="3C449E1D" w:rsidR="00EC119E" w:rsidRDefault="00EC119E" w:rsidP="003E2504">
            <w:pPr>
              <w:spacing w:line="276" w:lineRule="auto"/>
              <w:ind w:left="137" w:hanging="137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- zawarcie umowy </w:t>
            </w:r>
            <w:r w:rsidR="00710863">
              <w:rPr>
                <w:rFonts w:asciiTheme="minorHAnsi" w:hAnsiTheme="minorHAnsi" w:cs="Calibri"/>
              </w:rPr>
              <w:t>i zabezpieczenie należytego wykonania umowy</w:t>
            </w:r>
            <w:r w:rsidR="000D68E7">
              <w:rPr>
                <w:rFonts w:asciiTheme="minorHAnsi" w:hAnsiTheme="minorHAnsi" w:cs="Calibri"/>
              </w:rPr>
              <w:t>,</w:t>
            </w:r>
          </w:p>
          <w:p w14:paraId="26C7EA3B" w14:textId="2F72A4AA" w:rsidR="00017B2A" w:rsidRDefault="00017B2A" w:rsidP="003E2504">
            <w:pPr>
              <w:spacing w:line="276" w:lineRule="auto"/>
              <w:ind w:left="137" w:hanging="137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- </w:t>
            </w:r>
            <w:r w:rsidR="00926A38">
              <w:rPr>
                <w:rFonts w:asciiTheme="minorHAnsi" w:hAnsiTheme="minorHAnsi" w:cs="Calibri"/>
              </w:rPr>
              <w:t>z</w:t>
            </w:r>
            <w:r w:rsidRPr="00017B2A">
              <w:rPr>
                <w:rFonts w:asciiTheme="minorHAnsi" w:hAnsiTheme="minorHAnsi" w:cs="Calibri"/>
              </w:rPr>
              <w:t>asady dokonywania zmian i ich wpływ na realizację umów</w:t>
            </w:r>
            <w:r w:rsidR="000D68E7">
              <w:rPr>
                <w:rFonts w:asciiTheme="minorHAnsi" w:hAnsiTheme="minorHAnsi" w:cs="Calibri"/>
              </w:rPr>
              <w:t>,</w:t>
            </w:r>
          </w:p>
          <w:p w14:paraId="1D7A5E03" w14:textId="5C23D756" w:rsidR="00804130" w:rsidRDefault="00500DB4" w:rsidP="003E2504">
            <w:pPr>
              <w:spacing w:line="276" w:lineRule="auto"/>
              <w:ind w:left="137" w:hanging="137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- umowa </w:t>
            </w:r>
            <w:r w:rsidR="006202D7">
              <w:rPr>
                <w:rFonts w:asciiTheme="minorHAnsi" w:hAnsiTheme="minorHAnsi" w:cs="Calibri"/>
              </w:rPr>
              <w:t>konsorcjum</w:t>
            </w:r>
            <w:r w:rsidR="000D68E7">
              <w:rPr>
                <w:rFonts w:asciiTheme="minorHAnsi" w:hAnsiTheme="minorHAnsi" w:cs="Calibri"/>
              </w:rPr>
              <w:t>,</w:t>
            </w:r>
          </w:p>
          <w:p w14:paraId="0DD85E1E" w14:textId="6608E651" w:rsidR="001A630D" w:rsidRDefault="001A630D" w:rsidP="003E2504">
            <w:pPr>
              <w:spacing w:line="276" w:lineRule="auto"/>
              <w:ind w:left="137" w:hanging="137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  <w:r w:rsidR="0064605D">
              <w:rPr>
                <w:rFonts w:asciiTheme="minorHAnsi" w:hAnsiTheme="minorHAnsi" w:cs="Calibri"/>
              </w:rPr>
              <w:t xml:space="preserve"> </w:t>
            </w:r>
            <w:r w:rsidR="00C71BEF">
              <w:rPr>
                <w:rFonts w:asciiTheme="minorHAnsi" w:hAnsiTheme="minorHAnsi" w:cs="Calibri"/>
              </w:rPr>
              <w:t>umowy z podwykonawcami</w:t>
            </w:r>
            <w:r w:rsidR="00556FCC">
              <w:rPr>
                <w:rFonts w:asciiTheme="minorHAnsi" w:hAnsiTheme="minorHAnsi" w:cs="Calibri"/>
              </w:rPr>
              <w:t xml:space="preserve"> a odpowiedzialność wykonawcy względem zamawiającego</w:t>
            </w:r>
            <w:r w:rsidR="000D68E7">
              <w:rPr>
                <w:rFonts w:asciiTheme="minorHAnsi" w:hAnsiTheme="minorHAnsi" w:cs="Calibri"/>
              </w:rPr>
              <w:t>.</w:t>
            </w:r>
          </w:p>
          <w:p w14:paraId="5629D72C" w14:textId="4DFD62D9" w:rsidR="00AC472F" w:rsidRDefault="00AC472F" w:rsidP="00220F1F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Środki ochrony prawnej</w:t>
            </w:r>
            <w:r w:rsidR="000E5474">
              <w:rPr>
                <w:rFonts w:asciiTheme="minorHAnsi" w:hAnsiTheme="minorHAnsi" w:cs="Calibri"/>
              </w:rPr>
              <w:t xml:space="preserve"> w zamówieniach publicznych</w:t>
            </w:r>
          </w:p>
          <w:p w14:paraId="1BACD7AD" w14:textId="19981F3B" w:rsidR="005521C1" w:rsidRPr="00722058" w:rsidRDefault="00D8097E" w:rsidP="00D047BB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Podmioty ekonomii społecznej jako</w:t>
            </w:r>
            <w:r w:rsidR="00C167D5">
              <w:rPr>
                <w:rFonts w:asciiTheme="minorHAnsi" w:hAnsiTheme="minorHAnsi" w:cs="Calibri"/>
              </w:rPr>
              <w:t xml:space="preserve"> </w:t>
            </w:r>
            <w:r w:rsidR="009D090B">
              <w:rPr>
                <w:rFonts w:asciiTheme="minorHAnsi" w:hAnsiTheme="minorHAnsi" w:cs="Calibri"/>
              </w:rPr>
              <w:t xml:space="preserve">preferowani wykonawcy </w:t>
            </w:r>
            <w:r w:rsidR="00D047BB">
              <w:rPr>
                <w:rFonts w:asciiTheme="minorHAnsi" w:hAnsiTheme="minorHAnsi" w:cs="Calibri"/>
              </w:rPr>
              <w:t xml:space="preserve"> </w:t>
            </w:r>
            <w:r w:rsidR="004B1098">
              <w:rPr>
                <w:rFonts w:asciiTheme="minorHAnsi" w:hAnsiTheme="minorHAnsi" w:cs="Calibri"/>
              </w:rPr>
              <w:t xml:space="preserve">rynku zamówień publicznych </w:t>
            </w:r>
            <w:r w:rsidR="00D047BB">
              <w:rPr>
                <w:rFonts w:asciiTheme="minorHAnsi" w:hAnsiTheme="minorHAnsi" w:cs="Calibri"/>
              </w:rPr>
              <w:t>- podsumowanie i  i</w:t>
            </w:r>
            <w:r w:rsidR="007A1B60">
              <w:t>ndywidualne zapytania uczestników szkolenia.</w:t>
            </w:r>
          </w:p>
        </w:tc>
      </w:tr>
    </w:tbl>
    <w:p w14:paraId="760E65C1" w14:textId="77777777" w:rsidR="004838DA" w:rsidRPr="00722058" w:rsidRDefault="004838DA" w:rsidP="00722058">
      <w:pPr>
        <w:spacing w:line="240" w:lineRule="auto"/>
        <w:rPr>
          <w:rFonts w:asciiTheme="minorHAnsi" w:hAnsiTheme="minorHAnsi"/>
        </w:rPr>
      </w:pPr>
    </w:p>
    <w:sectPr w:rsidR="004838DA" w:rsidRPr="00722058" w:rsidSect="00EA3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7E05" w14:textId="77777777" w:rsidR="00717545" w:rsidRDefault="00717545" w:rsidP="00E565A9">
      <w:pPr>
        <w:spacing w:line="240" w:lineRule="auto"/>
      </w:pPr>
      <w:r>
        <w:separator/>
      </w:r>
    </w:p>
  </w:endnote>
  <w:endnote w:type="continuationSeparator" w:id="0">
    <w:p w14:paraId="7B06360F" w14:textId="77777777" w:rsidR="00717545" w:rsidRDefault="00717545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C0D0" w14:textId="77777777" w:rsidR="00520084" w:rsidRDefault="00520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58B5" w14:textId="77777777" w:rsidR="00EE43F1" w:rsidRPr="000559BB" w:rsidRDefault="00520084" w:rsidP="000559BB">
    <w:pPr>
      <w:pStyle w:val="Stopka"/>
    </w:pPr>
    <w:r>
      <w:rPr>
        <w:noProof/>
      </w:rPr>
      <w:drawing>
        <wp:inline distT="0" distB="0" distL="0" distR="0" wp14:anchorId="40822504" wp14:editId="5BD2DC0C">
          <wp:extent cx="5939790" cy="1002030"/>
          <wp:effectExtent l="0" t="0" r="3810" b="762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662F" w14:textId="77777777" w:rsidR="00520084" w:rsidRDefault="00520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48CE" w14:textId="77777777" w:rsidR="00717545" w:rsidRDefault="00717545" w:rsidP="00E565A9">
      <w:pPr>
        <w:spacing w:line="240" w:lineRule="auto"/>
      </w:pPr>
      <w:r>
        <w:separator/>
      </w:r>
    </w:p>
  </w:footnote>
  <w:footnote w:type="continuationSeparator" w:id="0">
    <w:p w14:paraId="248978A5" w14:textId="77777777" w:rsidR="00717545" w:rsidRDefault="00717545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09C5" w14:textId="77777777" w:rsidR="00520084" w:rsidRDefault="00520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E4B1" w14:textId="77777777" w:rsidR="008E52C0" w:rsidRDefault="00717545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0FFA371C" wp14:editId="0D20EA9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B125" w14:textId="77777777"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FA371C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350B125" w14:textId="77777777"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D560C7" wp14:editId="0EEE80AC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CD2C3" w14:textId="77777777"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560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14:paraId="26ACD2C3" w14:textId="77777777"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14:paraId="2DF188E5" w14:textId="77777777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55E374A" w14:textId="77777777"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6ECAF9CF" wp14:editId="7BDE644B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A7BD551" w14:textId="77777777" w:rsidR="008E52C0" w:rsidRDefault="00627992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3840" behindDoc="0" locked="0" layoutInCell="1" allowOverlap="1" wp14:anchorId="1DBA993E" wp14:editId="1A95AD14">
                <wp:simplePos x="0" y="0"/>
                <wp:positionH relativeFrom="column">
                  <wp:posOffset>1485900</wp:posOffset>
                </wp:positionH>
                <wp:positionV relativeFrom="paragraph">
                  <wp:posOffset>-29845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B1D8BAA" wp14:editId="3783E9D3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BB3708B" w14:textId="77777777"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5AAE213D" wp14:editId="653DF5FA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14:paraId="7D4116B3" w14:textId="77777777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61D9189" w14:textId="77777777"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5126957" wp14:editId="7E5FE932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0898BF5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764EE2A" w14:textId="77777777"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611A057" w14:textId="77777777"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14:paraId="4510BCD9" w14:textId="77777777" w:rsidR="00EE43F1" w:rsidRDefault="00EE4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7FE7" w14:textId="77777777" w:rsidR="00520084" w:rsidRDefault="00520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32159FE"/>
    <w:multiLevelType w:val="multilevel"/>
    <w:tmpl w:val="78F003AC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6204768"/>
    <w:multiLevelType w:val="hybridMultilevel"/>
    <w:tmpl w:val="4EE2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434A"/>
    <w:multiLevelType w:val="hybridMultilevel"/>
    <w:tmpl w:val="15E0A6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1D0"/>
    <w:multiLevelType w:val="hybridMultilevel"/>
    <w:tmpl w:val="0A081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860277"/>
    <w:multiLevelType w:val="multilevel"/>
    <w:tmpl w:val="9F6C81B6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5F2C1E"/>
    <w:multiLevelType w:val="multilevel"/>
    <w:tmpl w:val="5A54CA0A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4AB534D"/>
    <w:multiLevelType w:val="multilevel"/>
    <w:tmpl w:val="FF3413D6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BB1068F"/>
    <w:multiLevelType w:val="multilevel"/>
    <w:tmpl w:val="8220A6FA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18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A"/>
    <w:rsid w:val="00015F48"/>
    <w:rsid w:val="00016882"/>
    <w:rsid w:val="00017B2A"/>
    <w:rsid w:val="000257F4"/>
    <w:rsid w:val="00025C99"/>
    <w:rsid w:val="000345FA"/>
    <w:rsid w:val="0004018A"/>
    <w:rsid w:val="000417C5"/>
    <w:rsid w:val="00044DAC"/>
    <w:rsid w:val="00052DDC"/>
    <w:rsid w:val="000559BB"/>
    <w:rsid w:val="00055BF9"/>
    <w:rsid w:val="00063119"/>
    <w:rsid w:val="00063D9D"/>
    <w:rsid w:val="0006574A"/>
    <w:rsid w:val="00070AEE"/>
    <w:rsid w:val="0007183B"/>
    <w:rsid w:val="000766F8"/>
    <w:rsid w:val="00076747"/>
    <w:rsid w:val="00087A5C"/>
    <w:rsid w:val="0009413B"/>
    <w:rsid w:val="000A01B6"/>
    <w:rsid w:val="000A7058"/>
    <w:rsid w:val="000B2172"/>
    <w:rsid w:val="000B596A"/>
    <w:rsid w:val="000C0C37"/>
    <w:rsid w:val="000C24F1"/>
    <w:rsid w:val="000C4752"/>
    <w:rsid w:val="000C4D10"/>
    <w:rsid w:val="000D68E7"/>
    <w:rsid w:val="000E18E9"/>
    <w:rsid w:val="000E5474"/>
    <w:rsid w:val="000E694A"/>
    <w:rsid w:val="000E7C03"/>
    <w:rsid w:val="000F2EEA"/>
    <w:rsid w:val="000F70F1"/>
    <w:rsid w:val="00102BD3"/>
    <w:rsid w:val="00111C14"/>
    <w:rsid w:val="001120B5"/>
    <w:rsid w:val="00113CE9"/>
    <w:rsid w:val="00115A5A"/>
    <w:rsid w:val="001203D5"/>
    <w:rsid w:val="00120D99"/>
    <w:rsid w:val="001252BB"/>
    <w:rsid w:val="00126CAF"/>
    <w:rsid w:val="001332AB"/>
    <w:rsid w:val="0013618C"/>
    <w:rsid w:val="00137FE9"/>
    <w:rsid w:val="00154E51"/>
    <w:rsid w:val="001568CF"/>
    <w:rsid w:val="00161D0B"/>
    <w:rsid w:val="00167EF6"/>
    <w:rsid w:val="00171FC6"/>
    <w:rsid w:val="00180CFE"/>
    <w:rsid w:val="00187023"/>
    <w:rsid w:val="001923BB"/>
    <w:rsid w:val="00192E35"/>
    <w:rsid w:val="00193687"/>
    <w:rsid w:val="00193F6D"/>
    <w:rsid w:val="0019576E"/>
    <w:rsid w:val="001A1426"/>
    <w:rsid w:val="001A31B7"/>
    <w:rsid w:val="001A630D"/>
    <w:rsid w:val="001B5278"/>
    <w:rsid w:val="001C07D5"/>
    <w:rsid w:val="001C652B"/>
    <w:rsid w:val="001C6C20"/>
    <w:rsid w:val="001C6C21"/>
    <w:rsid w:val="001D0354"/>
    <w:rsid w:val="001D0A4E"/>
    <w:rsid w:val="001D487E"/>
    <w:rsid w:val="001D70FA"/>
    <w:rsid w:val="001E1EF9"/>
    <w:rsid w:val="001E1F6A"/>
    <w:rsid w:val="001F60D4"/>
    <w:rsid w:val="001F694E"/>
    <w:rsid w:val="0020705B"/>
    <w:rsid w:val="00207A19"/>
    <w:rsid w:val="00207B6B"/>
    <w:rsid w:val="00210BD5"/>
    <w:rsid w:val="00214A95"/>
    <w:rsid w:val="00220F1F"/>
    <w:rsid w:val="00224885"/>
    <w:rsid w:val="002255EB"/>
    <w:rsid w:val="002303E2"/>
    <w:rsid w:val="00234CAC"/>
    <w:rsid w:val="002405D9"/>
    <w:rsid w:val="00240822"/>
    <w:rsid w:val="00240C7A"/>
    <w:rsid w:val="00241255"/>
    <w:rsid w:val="00241E03"/>
    <w:rsid w:val="002442FF"/>
    <w:rsid w:val="00244506"/>
    <w:rsid w:val="00244BF3"/>
    <w:rsid w:val="00245024"/>
    <w:rsid w:val="00245EB3"/>
    <w:rsid w:val="002461B9"/>
    <w:rsid w:val="00252C40"/>
    <w:rsid w:val="002643CA"/>
    <w:rsid w:val="0026560F"/>
    <w:rsid w:val="002707F1"/>
    <w:rsid w:val="00271DB2"/>
    <w:rsid w:val="00276DCE"/>
    <w:rsid w:val="00291AB8"/>
    <w:rsid w:val="0029495A"/>
    <w:rsid w:val="002A77F2"/>
    <w:rsid w:val="002B6652"/>
    <w:rsid w:val="002C4A24"/>
    <w:rsid w:val="002D7C5C"/>
    <w:rsid w:val="002E20AC"/>
    <w:rsid w:val="002E60F7"/>
    <w:rsid w:val="002E6AD7"/>
    <w:rsid w:val="002F0283"/>
    <w:rsid w:val="002F0771"/>
    <w:rsid w:val="002F101D"/>
    <w:rsid w:val="002F2AD7"/>
    <w:rsid w:val="002F3B35"/>
    <w:rsid w:val="00303A4D"/>
    <w:rsid w:val="0030457D"/>
    <w:rsid w:val="00306A9D"/>
    <w:rsid w:val="0031257A"/>
    <w:rsid w:val="00322109"/>
    <w:rsid w:val="0034391E"/>
    <w:rsid w:val="003521FB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97077"/>
    <w:rsid w:val="003A4EE3"/>
    <w:rsid w:val="003A55F1"/>
    <w:rsid w:val="003A6EAF"/>
    <w:rsid w:val="003B3680"/>
    <w:rsid w:val="003C5B00"/>
    <w:rsid w:val="003C5C8F"/>
    <w:rsid w:val="003D12CE"/>
    <w:rsid w:val="003D49DC"/>
    <w:rsid w:val="003E1B9A"/>
    <w:rsid w:val="003E2504"/>
    <w:rsid w:val="003E2B50"/>
    <w:rsid w:val="003E40DD"/>
    <w:rsid w:val="003E4F40"/>
    <w:rsid w:val="003F0916"/>
    <w:rsid w:val="003F2EEC"/>
    <w:rsid w:val="003F51A7"/>
    <w:rsid w:val="00400105"/>
    <w:rsid w:val="00404662"/>
    <w:rsid w:val="00415B94"/>
    <w:rsid w:val="00417C2E"/>
    <w:rsid w:val="00420349"/>
    <w:rsid w:val="00422271"/>
    <w:rsid w:val="0042230D"/>
    <w:rsid w:val="00422F19"/>
    <w:rsid w:val="004509FC"/>
    <w:rsid w:val="0045124A"/>
    <w:rsid w:val="00456A11"/>
    <w:rsid w:val="00460627"/>
    <w:rsid w:val="00463394"/>
    <w:rsid w:val="00471357"/>
    <w:rsid w:val="00474089"/>
    <w:rsid w:val="00475275"/>
    <w:rsid w:val="00475359"/>
    <w:rsid w:val="004811A5"/>
    <w:rsid w:val="004838DA"/>
    <w:rsid w:val="004A5EB3"/>
    <w:rsid w:val="004B1098"/>
    <w:rsid w:val="004D4919"/>
    <w:rsid w:val="004E0746"/>
    <w:rsid w:val="004E37BC"/>
    <w:rsid w:val="004E3D9E"/>
    <w:rsid w:val="004E41D5"/>
    <w:rsid w:val="004F36EE"/>
    <w:rsid w:val="00500DB4"/>
    <w:rsid w:val="00505833"/>
    <w:rsid w:val="00513713"/>
    <w:rsid w:val="00515609"/>
    <w:rsid w:val="00520084"/>
    <w:rsid w:val="00521B98"/>
    <w:rsid w:val="005264EE"/>
    <w:rsid w:val="0052787B"/>
    <w:rsid w:val="00532FBA"/>
    <w:rsid w:val="00542C3E"/>
    <w:rsid w:val="0054397A"/>
    <w:rsid w:val="005521C1"/>
    <w:rsid w:val="0055355E"/>
    <w:rsid w:val="00554965"/>
    <w:rsid w:val="00556FCC"/>
    <w:rsid w:val="00557034"/>
    <w:rsid w:val="005615D1"/>
    <w:rsid w:val="005735D3"/>
    <w:rsid w:val="00577B9E"/>
    <w:rsid w:val="0058221D"/>
    <w:rsid w:val="00585875"/>
    <w:rsid w:val="00594557"/>
    <w:rsid w:val="005A0CF8"/>
    <w:rsid w:val="005A12EA"/>
    <w:rsid w:val="005A2053"/>
    <w:rsid w:val="005A637F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07447"/>
    <w:rsid w:val="006104AB"/>
    <w:rsid w:val="00613220"/>
    <w:rsid w:val="006202D7"/>
    <w:rsid w:val="0062555A"/>
    <w:rsid w:val="00627992"/>
    <w:rsid w:val="006308D6"/>
    <w:rsid w:val="00631566"/>
    <w:rsid w:val="00631AF8"/>
    <w:rsid w:val="00634B6F"/>
    <w:rsid w:val="00641207"/>
    <w:rsid w:val="006435DD"/>
    <w:rsid w:val="006451ED"/>
    <w:rsid w:val="0064605D"/>
    <w:rsid w:val="00672871"/>
    <w:rsid w:val="006738BF"/>
    <w:rsid w:val="00674CBE"/>
    <w:rsid w:val="00681E39"/>
    <w:rsid w:val="006918EE"/>
    <w:rsid w:val="006B60A6"/>
    <w:rsid w:val="006C20D1"/>
    <w:rsid w:val="006C7109"/>
    <w:rsid w:val="006D1FF3"/>
    <w:rsid w:val="006E5AC7"/>
    <w:rsid w:val="006E7E43"/>
    <w:rsid w:val="006F057A"/>
    <w:rsid w:val="006F131B"/>
    <w:rsid w:val="006F7164"/>
    <w:rsid w:val="007004D5"/>
    <w:rsid w:val="00705A4C"/>
    <w:rsid w:val="00706A6C"/>
    <w:rsid w:val="00710863"/>
    <w:rsid w:val="00716E55"/>
    <w:rsid w:val="007170AF"/>
    <w:rsid w:val="00717545"/>
    <w:rsid w:val="00722058"/>
    <w:rsid w:val="007238A2"/>
    <w:rsid w:val="007303F0"/>
    <w:rsid w:val="00730939"/>
    <w:rsid w:val="00731FE2"/>
    <w:rsid w:val="00732126"/>
    <w:rsid w:val="007372A4"/>
    <w:rsid w:val="00737944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8186F"/>
    <w:rsid w:val="007856C2"/>
    <w:rsid w:val="00786290"/>
    <w:rsid w:val="00792BA8"/>
    <w:rsid w:val="007A1B60"/>
    <w:rsid w:val="007A393A"/>
    <w:rsid w:val="007B0C54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4130"/>
    <w:rsid w:val="008072CB"/>
    <w:rsid w:val="0081234A"/>
    <w:rsid w:val="008245BE"/>
    <w:rsid w:val="00830834"/>
    <w:rsid w:val="00844614"/>
    <w:rsid w:val="008535B6"/>
    <w:rsid w:val="00853C92"/>
    <w:rsid w:val="008550B4"/>
    <w:rsid w:val="00856E97"/>
    <w:rsid w:val="00865372"/>
    <w:rsid w:val="008653C9"/>
    <w:rsid w:val="0087496B"/>
    <w:rsid w:val="00884B33"/>
    <w:rsid w:val="00887BDA"/>
    <w:rsid w:val="00892807"/>
    <w:rsid w:val="00892B54"/>
    <w:rsid w:val="00894593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ACB"/>
    <w:rsid w:val="008E7FF3"/>
    <w:rsid w:val="008F2501"/>
    <w:rsid w:val="00901083"/>
    <w:rsid w:val="0090378F"/>
    <w:rsid w:val="00903F48"/>
    <w:rsid w:val="00913222"/>
    <w:rsid w:val="00913581"/>
    <w:rsid w:val="00926A38"/>
    <w:rsid w:val="0092779E"/>
    <w:rsid w:val="009302F1"/>
    <w:rsid w:val="00933623"/>
    <w:rsid w:val="00935749"/>
    <w:rsid w:val="00935C7E"/>
    <w:rsid w:val="00940C95"/>
    <w:rsid w:val="00943933"/>
    <w:rsid w:val="009524BF"/>
    <w:rsid w:val="009545EA"/>
    <w:rsid w:val="0095722C"/>
    <w:rsid w:val="00971B98"/>
    <w:rsid w:val="00971EC9"/>
    <w:rsid w:val="009747EE"/>
    <w:rsid w:val="00977C93"/>
    <w:rsid w:val="009831B4"/>
    <w:rsid w:val="0098587E"/>
    <w:rsid w:val="009862BD"/>
    <w:rsid w:val="00990DEC"/>
    <w:rsid w:val="00995AF5"/>
    <w:rsid w:val="00997AFD"/>
    <w:rsid w:val="009A4E6C"/>
    <w:rsid w:val="009B020F"/>
    <w:rsid w:val="009B10CD"/>
    <w:rsid w:val="009B292F"/>
    <w:rsid w:val="009B6301"/>
    <w:rsid w:val="009B7BCC"/>
    <w:rsid w:val="009C19A2"/>
    <w:rsid w:val="009C733D"/>
    <w:rsid w:val="009D090B"/>
    <w:rsid w:val="009D71F7"/>
    <w:rsid w:val="009D7336"/>
    <w:rsid w:val="009E052B"/>
    <w:rsid w:val="009E0D1B"/>
    <w:rsid w:val="009E2849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2F31"/>
    <w:rsid w:val="00A459F8"/>
    <w:rsid w:val="00A465B6"/>
    <w:rsid w:val="00A6277B"/>
    <w:rsid w:val="00A6530E"/>
    <w:rsid w:val="00A66CB7"/>
    <w:rsid w:val="00A726CC"/>
    <w:rsid w:val="00A7474E"/>
    <w:rsid w:val="00A76172"/>
    <w:rsid w:val="00A82886"/>
    <w:rsid w:val="00A931CE"/>
    <w:rsid w:val="00A94B7C"/>
    <w:rsid w:val="00A96CB9"/>
    <w:rsid w:val="00AA24AF"/>
    <w:rsid w:val="00AA46A8"/>
    <w:rsid w:val="00AA7C5E"/>
    <w:rsid w:val="00AB1BBC"/>
    <w:rsid w:val="00AB61D8"/>
    <w:rsid w:val="00AC472F"/>
    <w:rsid w:val="00AD3774"/>
    <w:rsid w:val="00AD3A7C"/>
    <w:rsid w:val="00AD7983"/>
    <w:rsid w:val="00AE25D1"/>
    <w:rsid w:val="00AF1C23"/>
    <w:rsid w:val="00AF5F86"/>
    <w:rsid w:val="00AF6122"/>
    <w:rsid w:val="00AF63E4"/>
    <w:rsid w:val="00B01284"/>
    <w:rsid w:val="00B17E7E"/>
    <w:rsid w:val="00B24118"/>
    <w:rsid w:val="00B43B3F"/>
    <w:rsid w:val="00B45C13"/>
    <w:rsid w:val="00B52BC0"/>
    <w:rsid w:val="00B52C3F"/>
    <w:rsid w:val="00B6690B"/>
    <w:rsid w:val="00B72934"/>
    <w:rsid w:val="00B7696A"/>
    <w:rsid w:val="00B92C56"/>
    <w:rsid w:val="00B93387"/>
    <w:rsid w:val="00B935FF"/>
    <w:rsid w:val="00BA0C4C"/>
    <w:rsid w:val="00BA32B7"/>
    <w:rsid w:val="00BA40A8"/>
    <w:rsid w:val="00BA53CA"/>
    <w:rsid w:val="00BB67FE"/>
    <w:rsid w:val="00BD0165"/>
    <w:rsid w:val="00BD5D84"/>
    <w:rsid w:val="00BD76E1"/>
    <w:rsid w:val="00BE1B07"/>
    <w:rsid w:val="00C13FD5"/>
    <w:rsid w:val="00C160B5"/>
    <w:rsid w:val="00C1652A"/>
    <w:rsid w:val="00C167D5"/>
    <w:rsid w:val="00C173A9"/>
    <w:rsid w:val="00C32258"/>
    <w:rsid w:val="00C32462"/>
    <w:rsid w:val="00C36AB4"/>
    <w:rsid w:val="00C40A17"/>
    <w:rsid w:val="00C41D85"/>
    <w:rsid w:val="00C4348E"/>
    <w:rsid w:val="00C454E8"/>
    <w:rsid w:val="00C50FA8"/>
    <w:rsid w:val="00C57610"/>
    <w:rsid w:val="00C6166A"/>
    <w:rsid w:val="00C70B33"/>
    <w:rsid w:val="00C71BEF"/>
    <w:rsid w:val="00C77CFA"/>
    <w:rsid w:val="00C8047A"/>
    <w:rsid w:val="00C809A6"/>
    <w:rsid w:val="00C8113F"/>
    <w:rsid w:val="00C8600C"/>
    <w:rsid w:val="00C9090D"/>
    <w:rsid w:val="00C90BA3"/>
    <w:rsid w:val="00C91524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D711F"/>
    <w:rsid w:val="00CE5939"/>
    <w:rsid w:val="00D047BB"/>
    <w:rsid w:val="00D060F1"/>
    <w:rsid w:val="00D12014"/>
    <w:rsid w:val="00D13218"/>
    <w:rsid w:val="00D1492F"/>
    <w:rsid w:val="00D14A3B"/>
    <w:rsid w:val="00D1511A"/>
    <w:rsid w:val="00D17E95"/>
    <w:rsid w:val="00D22FEF"/>
    <w:rsid w:val="00D329AA"/>
    <w:rsid w:val="00D3618C"/>
    <w:rsid w:val="00D42B5E"/>
    <w:rsid w:val="00D43FE5"/>
    <w:rsid w:val="00D5265C"/>
    <w:rsid w:val="00D52A88"/>
    <w:rsid w:val="00D55541"/>
    <w:rsid w:val="00D5660E"/>
    <w:rsid w:val="00D56F11"/>
    <w:rsid w:val="00D6064D"/>
    <w:rsid w:val="00D70ED9"/>
    <w:rsid w:val="00D74AAC"/>
    <w:rsid w:val="00D762F2"/>
    <w:rsid w:val="00D8097E"/>
    <w:rsid w:val="00D8300E"/>
    <w:rsid w:val="00D917EC"/>
    <w:rsid w:val="00DA29C7"/>
    <w:rsid w:val="00DA601C"/>
    <w:rsid w:val="00DB5D1E"/>
    <w:rsid w:val="00DC0BE6"/>
    <w:rsid w:val="00DC6417"/>
    <w:rsid w:val="00DE3A0E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1AD4"/>
    <w:rsid w:val="00E33A1C"/>
    <w:rsid w:val="00E36B18"/>
    <w:rsid w:val="00E370CF"/>
    <w:rsid w:val="00E41C55"/>
    <w:rsid w:val="00E46837"/>
    <w:rsid w:val="00E565A9"/>
    <w:rsid w:val="00E60BFF"/>
    <w:rsid w:val="00E63587"/>
    <w:rsid w:val="00E7561F"/>
    <w:rsid w:val="00E800A0"/>
    <w:rsid w:val="00E82B26"/>
    <w:rsid w:val="00E86DC3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119E"/>
    <w:rsid w:val="00EC4E4C"/>
    <w:rsid w:val="00EC5F89"/>
    <w:rsid w:val="00ED6561"/>
    <w:rsid w:val="00EE16DA"/>
    <w:rsid w:val="00EE43F1"/>
    <w:rsid w:val="00EE52F5"/>
    <w:rsid w:val="00EF3F25"/>
    <w:rsid w:val="00F01366"/>
    <w:rsid w:val="00F0156F"/>
    <w:rsid w:val="00F03FC7"/>
    <w:rsid w:val="00F11CAA"/>
    <w:rsid w:val="00F21A4B"/>
    <w:rsid w:val="00F24366"/>
    <w:rsid w:val="00F26C3A"/>
    <w:rsid w:val="00F26E3D"/>
    <w:rsid w:val="00F26E3E"/>
    <w:rsid w:val="00F27F35"/>
    <w:rsid w:val="00F33E36"/>
    <w:rsid w:val="00F340BE"/>
    <w:rsid w:val="00F3464E"/>
    <w:rsid w:val="00F36773"/>
    <w:rsid w:val="00F42F44"/>
    <w:rsid w:val="00F45C8A"/>
    <w:rsid w:val="00F46167"/>
    <w:rsid w:val="00F61FDD"/>
    <w:rsid w:val="00F76823"/>
    <w:rsid w:val="00F80CFB"/>
    <w:rsid w:val="00FB28FC"/>
    <w:rsid w:val="00FB30BA"/>
    <w:rsid w:val="00FB6187"/>
    <w:rsid w:val="00FC3F61"/>
    <w:rsid w:val="00FC7EFB"/>
    <w:rsid w:val="00FD0C89"/>
    <w:rsid w:val="00FE34F5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BF04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3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F0916"/>
    <w:rPr>
      <w:i/>
      <w:iCs/>
      <w:color w:val="808080" w:themeColor="text1" w:themeTint="7F"/>
    </w:rPr>
  </w:style>
  <w:style w:type="paragraph" w:styleId="Zwykytekst">
    <w:name w:val="Plain Text"/>
    <w:basedOn w:val="Normalny"/>
    <w:link w:val="ZwykytekstZnak"/>
    <w:rsid w:val="00722058"/>
    <w:pPr>
      <w:spacing w:line="240" w:lineRule="auto"/>
    </w:pPr>
    <w:rPr>
      <w:rFonts w:ascii="Verdana" w:eastAsia="Times New Roman" w:hAnsi="Verdana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22058"/>
    <w:rPr>
      <w:rFonts w:ascii="Verdana" w:eastAsia="Times New Roman" w:hAnsi="Verdana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0AF5-C05D-40E5-A5BA-5095946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Malwina Dworzyńska</cp:lastModifiedBy>
  <cp:revision>3</cp:revision>
  <cp:lastPrinted>2018-03-01T06:47:00Z</cp:lastPrinted>
  <dcterms:created xsi:type="dcterms:W3CDTF">2018-05-09T19:56:00Z</dcterms:created>
  <dcterms:modified xsi:type="dcterms:W3CDTF">2018-05-16T07:22:00Z</dcterms:modified>
</cp:coreProperties>
</file>