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1F4F" w14:textId="77777777" w:rsidR="00BD1A85" w:rsidRPr="00BD4788" w:rsidRDefault="00BD1A85" w:rsidP="00BD1A85">
      <w:pPr>
        <w:suppressAutoHyphens/>
        <w:autoSpaceDE w:val="0"/>
        <w:autoSpaceDN w:val="0"/>
        <w:adjustRightInd w:val="0"/>
        <w:spacing w:before="227" w:after="227" w:line="260" w:lineRule="atLeast"/>
        <w:jc w:val="left"/>
        <w:textAlignment w:val="center"/>
        <w:rPr>
          <w:rFonts w:ascii="Tide Sans 500 Dudette" w:hAnsi="Tide Sans 500 Dudette" w:cs="Tide Sans 500 Dudette"/>
          <w:b/>
          <w:color w:val="E50028"/>
          <w:sz w:val="24"/>
          <w:szCs w:val="24"/>
        </w:rPr>
      </w:pPr>
      <w:bookmarkStart w:id="0" w:name="_GoBack"/>
      <w:bookmarkEnd w:id="0"/>
      <w:r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Fundusz Gwarancyjn</w:t>
      </w:r>
      <w:r w:rsidR="00D77119"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y dla sektora ekonomii społecznej</w:t>
      </w:r>
    </w:p>
    <w:p w14:paraId="3C3EEA8C" w14:textId="7BFF998E" w:rsidR="00BD1A85" w:rsidRPr="00BD1A85" w:rsidRDefault="00BD1A85" w:rsidP="00BD1A85">
      <w:pPr>
        <w:suppressAutoHyphens/>
        <w:autoSpaceDE w:val="0"/>
        <w:autoSpaceDN w:val="0"/>
        <w:adjustRightInd w:val="0"/>
        <w:spacing w:after="113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</w:rPr>
      </w:pPr>
      <w:r w:rsidRPr="00BD1A85">
        <w:rPr>
          <w:rFonts w:ascii="Tide Sans 300 Lil Kahuna" w:hAnsi="Tide Sans 300 Lil Kahuna" w:cs="Tide Sans 300 Lil Kahuna"/>
          <w:color w:val="546565"/>
        </w:rPr>
        <w:t>Fundusz Gwarancyjn</w:t>
      </w:r>
      <w:r w:rsidR="00D77119">
        <w:rPr>
          <w:rFonts w:ascii="Tide Sans 300 Lil Kahuna" w:hAnsi="Tide Sans 300 Lil Kahuna" w:cs="Tide Sans 300 Lil Kahuna"/>
          <w:color w:val="546565"/>
        </w:rPr>
        <w:t>y</w:t>
      </w:r>
      <w:r w:rsidRPr="00BD1A85">
        <w:rPr>
          <w:rFonts w:ascii="Tide Sans 300 Lil Kahuna" w:hAnsi="Tide Sans 300 Lil Kahuna" w:cs="Tide Sans 300 Lil Kahuna"/>
          <w:color w:val="546565"/>
        </w:rPr>
        <w:t xml:space="preserve"> </w:t>
      </w:r>
      <w:r w:rsidR="00D77119">
        <w:rPr>
          <w:rFonts w:ascii="Tide Sans 300 Lil Kahuna" w:hAnsi="Tide Sans 300 Lil Kahuna" w:cs="Tide Sans 300 Lil Kahuna"/>
          <w:color w:val="546565"/>
        </w:rPr>
        <w:t xml:space="preserve">to powołany w Banku Gospodarstwa Krajowego </w:t>
      </w:r>
      <w:r w:rsidR="001B5271">
        <w:rPr>
          <w:rFonts w:ascii="Tide Sans 300 Lil Kahuna" w:hAnsi="Tide Sans 300 Lil Kahuna" w:cs="Tide Sans 300 Lil Kahuna"/>
          <w:color w:val="546565"/>
        </w:rPr>
        <w:t xml:space="preserve">instrument </w:t>
      </w:r>
      <w:r w:rsidR="00D77119">
        <w:rPr>
          <w:rFonts w:ascii="Tide Sans 300 Lil Kahuna" w:hAnsi="Tide Sans 300 Lil Kahuna" w:cs="Tide Sans 300 Lil Kahuna"/>
          <w:color w:val="546565"/>
        </w:rPr>
        <w:t>dedykowany</w:t>
      </w:r>
      <w:r w:rsidRPr="00BD1A85">
        <w:rPr>
          <w:rFonts w:ascii="Tide Sans 300 Lil Kahuna" w:hAnsi="Tide Sans 300 Lil Kahuna" w:cs="Tide Sans 300 Lil Kahuna"/>
          <w:color w:val="546565"/>
        </w:rPr>
        <w:t xml:space="preserve"> </w:t>
      </w:r>
      <w:r w:rsidR="00D77119">
        <w:rPr>
          <w:rFonts w:ascii="Tide Sans 300 Lil Kahuna" w:hAnsi="Tide Sans 300 Lil Kahuna" w:cs="Tide Sans 300 Lil Kahuna"/>
          <w:color w:val="546565"/>
        </w:rPr>
        <w:t xml:space="preserve">wsparciu Podmiotów Ekonomii Społecznej </w:t>
      </w:r>
      <w:r w:rsidR="00BB59A8">
        <w:rPr>
          <w:rFonts w:ascii="Tide Sans 300 Lil Kahuna" w:hAnsi="Tide Sans 300 Lil Kahuna" w:cs="Tide Sans 300 Lil Kahuna"/>
          <w:color w:val="546565"/>
        </w:rPr>
        <w:t>ubiegających</w:t>
      </w:r>
      <w:r w:rsidR="00D77119">
        <w:rPr>
          <w:rFonts w:ascii="Tide Sans 300 Lil Kahuna" w:hAnsi="Tide Sans 300 Lil Kahuna" w:cs="Tide Sans 300 Lil Kahuna"/>
          <w:color w:val="546565"/>
        </w:rPr>
        <w:t xml:space="preserve"> się o kredyty w bankach spółdzielczych. Środki funduszu </w:t>
      </w:r>
      <w:r w:rsidRPr="00BD1A85">
        <w:rPr>
          <w:rFonts w:ascii="Tide Sans 300 Lil Kahuna" w:hAnsi="Tide Sans 300 Lil Kahuna" w:cs="Tide Sans 300 Lil Kahuna"/>
          <w:color w:val="546565"/>
        </w:rPr>
        <w:t xml:space="preserve">są przeznaczone na udzielanie gwarancji spłaty kredytów przyznawanych PES przez </w:t>
      </w:r>
      <w:r w:rsidR="00D77119">
        <w:rPr>
          <w:rFonts w:ascii="Tide Sans 300 Lil Kahuna" w:hAnsi="Tide Sans 300 Lil Kahuna" w:cs="Tide Sans 300 Lil Kahuna"/>
          <w:color w:val="546565"/>
        </w:rPr>
        <w:t>banki spółdzielcze, które zawarły z BGK umowę współpracy</w:t>
      </w:r>
      <w:r w:rsidRPr="00BD1A85">
        <w:rPr>
          <w:rFonts w:ascii="Tide Sans 300 Lil Kahuna" w:hAnsi="Tide Sans 300 Lil Kahuna" w:cs="Tide Sans 300 Lil Kahuna"/>
          <w:color w:val="546565"/>
        </w:rPr>
        <w:t xml:space="preserve">. </w:t>
      </w:r>
      <w:r w:rsidR="00D77119">
        <w:rPr>
          <w:rFonts w:ascii="Tide Sans 300 Lil Kahuna" w:hAnsi="Tide Sans 300 Lil Kahuna" w:cs="Tide Sans 300 Lil Kahuna"/>
          <w:color w:val="546565"/>
        </w:rPr>
        <w:t>Celem funduszu jest zabezpieczenie kredytów zaciąganych przez PES, a tym samym wzmocnienie ich potencjału do pozyskania finansowania z rynku.</w:t>
      </w:r>
    </w:p>
    <w:p w14:paraId="54B8D653" w14:textId="77777777" w:rsidR="00BD1A85" w:rsidRPr="00BD4788" w:rsidRDefault="00BD1A85" w:rsidP="00BD1A85">
      <w:pPr>
        <w:suppressAutoHyphens/>
        <w:autoSpaceDE w:val="0"/>
        <w:autoSpaceDN w:val="0"/>
        <w:adjustRightInd w:val="0"/>
        <w:spacing w:before="227" w:after="283" w:line="260" w:lineRule="atLeast"/>
        <w:jc w:val="left"/>
        <w:textAlignment w:val="center"/>
        <w:rPr>
          <w:rFonts w:ascii="Tide Sans 500 Dudette" w:hAnsi="Tide Sans 500 Dudette" w:cs="Tide Sans 500 Dudette"/>
          <w:b/>
          <w:color w:val="E50028"/>
          <w:sz w:val="24"/>
          <w:szCs w:val="24"/>
        </w:rPr>
      </w:pPr>
      <w:r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Dla kogo gwarancje?</w:t>
      </w:r>
    </w:p>
    <w:p w14:paraId="52030358" w14:textId="77777777" w:rsidR="00BD1A85" w:rsidRPr="00BD1A85" w:rsidRDefault="00BD1A85" w:rsidP="00BD1A85">
      <w:pPr>
        <w:suppressAutoHyphens/>
        <w:autoSpaceDE w:val="0"/>
        <w:autoSpaceDN w:val="0"/>
        <w:adjustRightInd w:val="0"/>
        <w:spacing w:after="113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</w:rPr>
      </w:pPr>
      <w:r w:rsidRPr="00BD1A85">
        <w:rPr>
          <w:rFonts w:ascii="Tide Sans 300 Lil Kahuna" w:hAnsi="Tide Sans 300 Lil Kahuna" w:cs="Tide Sans 300 Lil Kahuna"/>
          <w:color w:val="546565"/>
        </w:rPr>
        <w:t>O gwarancję mogą ubiegać się:</w:t>
      </w:r>
    </w:p>
    <w:p w14:paraId="58A434F6" w14:textId="77777777" w:rsidR="00BD1A85" w:rsidRPr="00EF2952" w:rsidRDefault="00BD1A85" w:rsidP="00BD1A85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przedsiębiorstwa społeczne, w tym spółdzielnie socjalne; </w:t>
      </w:r>
    </w:p>
    <w:p w14:paraId="2E90B415" w14:textId="77777777" w:rsidR="00BD1A85" w:rsidRPr="00EF2952" w:rsidRDefault="00BD1A85" w:rsidP="00BD1A85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podmioty reintegracyjne, których organem prowadzącym nie jest jednostka samorządu terytorialnego (CIS i KIS, ZAZ i</w:t>
      </w:r>
      <w:r w:rsidRPr="00EF2952">
        <w:rPr>
          <w:rFonts w:ascii="Calibri" w:hAnsi="Calibri" w:cs="Calibri"/>
          <w:color w:val="546565"/>
          <w:lang w:val="pl-PL"/>
        </w:rPr>
        <w:t> 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WTZ); </w:t>
      </w:r>
    </w:p>
    <w:p w14:paraId="005966FE" w14:textId="77777777" w:rsidR="00BD1A85" w:rsidRPr="00EF2952" w:rsidRDefault="00BD1A85" w:rsidP="00BD1A85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organizacje pozarządowe lub prowadzące działalność pożytku publicznego instytucje działające na podstawie przepisów o stosunku Państwa do Kościoła Katolickiego w Rzeczypospolitej Polskiej, o stosunku Państwa do innych kościołów i związków wyznaniowych oraz o gwarancjach wolności sumienia i wyznania;</w:t>
      </w:r>
    </w:p>
    <w:p w14:paraId="00D0DE31" w14:textId="77777777" w:rsidR="00BD1A85" w:rsidRPr="00EF2952" w:rsidRDefault="00BD1A85" w:rsidP="00BD1A85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podmioty sfery gospodarczej, realizujące cel społeczny: </w:t>
      </w:r>
    </w:p>
    <w:p w14:paraId="67E8AEF4" w14:textId="77777777" w:rsidR="00BD1A85" w:rsidRPr="00EF2952" w:rsidRDefault="00BD1A85" w:rsidP="00BD1A85">
      <w:pPr>
        <w:pStyle w:val="Akapitzlist"/>
        <w:numPr>
          <w:ilvl w:val="1"/>
          <w:numId w:val="28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organizacje pozarządowa prowadzące działalność gospodarczą, z</w:t>
      </w:r>
      <w:r w:rsidRPr="00EF2952">
        <w:rPr>
          <w:rFonts w:ascii="Calibri" w:hAnsi="Calibri" w:cs="Calibri"/>
          <w:color w:val="546565"/>
          <w:lang w:val="pl-PL"/>
        </w:rPr>
        <w:t> 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której zyski wspierają realizację celów statutowych; </w:t>
      </w:r>
    </w:p>
    <w:p w14:paraId="648CB4D8" w14:textId="593A54FC" w:rsidR="00BD1A85" w:rsidRPr="00EF2952" w:rsidRDefault="00BD1A85" w:rsidP="00BD1A85">
      <w:pPr>
        <w:pStyle w:val="Akapitzlist"/>
        <w:numPr>
          <w:ilvl w:val="1"/>
          <w:numId w:val="28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spółdzielnie pracy, inwalidów i</w:t>
      </w:r>
      <w:r w:rsidRPr="00EF2952">
        <w:rPr>
          <w:rFonts w:ascii="Calibri" w:hAnsi="Calibri" w:cs="Calibri"/>
          <w:color w:val="546565"/>
          <w:lang w:val="pl-PL"/>
        </w:rPr>
        <w:t> 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>niewidomych</w:t>
      </w:r>
      <w:r w:rsidR="008A0EFC">
        <w:rPr>
          <w:rFonts w:ascii="Tide Sans 300 Lil Kahuna" w:hAnsi="Tide Sans 300 Lil Kahuna" w:cs="Tide Sans 300 Lil Kahuna"/>
          <w:color w:val="546565"/>
          <w:lang w:val="pl-PL"/>
        </w:rPr>
        <w:t>;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 </w:t>
      </w:r>
    </w:p>
    <w:p w14:paraId="0502BEB4" w14:textId="77777777" w:rsidR="00BD1A85" w:rsidRPr="00EF2952" w:rsidRDefault="00BD1A85" w:rsidP="00BD1A85">
      <w:pPr>
        <w:pStyle w:val="Akapitzlist"/>
        <w:numPr>
          <w:ilvl w:val="1"/>
          <w:numId w:val="28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spółki non-profit, o ile udział sektora publicznego w spółce wynosi nie więcej niż 50%.</w:t>
      </w:r>
    </w:p>
    <w:p w14:paraId="555AB902" w14:textId="30D08976" w:rsidR="00686017" w:rsidRPr="00E27998" w:rsidRDefault="00686017">
      <w:p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color w:val="E50028"/>
          <w:sz w:val="24"/>
          <w:szCs w:val="24"/>
        </w:rPr>
      </w:pPr>
      <w:r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Korzy</w:t>
      </w:r>
      <w:r w:rsidR="00BD4788"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 xml:space="preserve">stne warunki </w:t>
      </w:r>
      <w:r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gwarancji</w:t>
      </w:r>
      <w:r w:rsidR="00BD4788"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:</w:t>
      </w:r>
    </w:p>
    <w:p w14:paraId="147875B8" w14:textId="77777777" w:rsidR="00686017" w:rsidRPr="00B32B8B" w:rsidRDefault="00686017" w:rsidP="00E27998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szeroki zasięg grupy docelowej</w:t>
      </w:r>
      <w:r w:rsidRPr="00B32B8B">
        <w:rPr>
          <w:rFonts w:ascii="Tide Sans 500 Dudette" w:hAnsi="Tide Sans 500 Dudette" w:cs="Tide Sans 500 Dudette"/>
          <w:sz w:val="24"/>
          <w:szCs w:val="24"/>
          <w:lang w:val="pl-PL"/>
        </w:rPr>
        <w:t>: dla PES z całego kraju;</w:t>
      </w:r>
    </w:p>
    <w:p w14:paraId="6C48CE36" w14:textId="77777777" w:rsidR="00686017" w:rsidRPr="00B32B8B" w:rsidRDefault="00686017" w:rsidP="00E27998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ułatwiony dostęp do finansowania rynkowego</w:t>
      </w:r>
      <w:r w:rsidRPr="00B32B8B">
        <w:rPr>
          <w:rFonts w:ascii="Tide Sans 500 Dudette" w:hAnsi="Tide Sans 500 Dudette" w:cs="Tide Sans 500 Dudette"/>
          <w:sz w:val="24"/>
          <w:szCs w:val="24"/>
          <w:lang w:val="pl-PL"/>
        </w:rPr>
        <w:t xml:space="preserve"> dla podmiotów o krótkiej historii działalności/braku historii kredytowej;</w:t>
      </w:r>
    </w:p>
    <w:p w14:paraId="401BDA90" w14:textId="77777777" w:rsidR="00BD4788" w:rsidRPr="00B32B8B" w:rsidRDefault="00BD4788" w:rsidP="00E27998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szerokie spektrum rodzajów kredytów objętych gwarancją: kredyty na bieżącą działalność, na cele rozwojowe lub inwestycyjne, w tym na:</w:t>
      </w:r>
    </w:p>
    <w:p w14:paraId="079CA45A" w14:textId="77777777" w:rsidR="00BD4788" w:rsidRPr="00B32B8B" w:rsidRDefault="00BD4788" w:rsidP="00BD4788">
      <w:pPr>
        <w:pStyle w:val="Akapitzlist"/>
        <w:suppressAutoHyphens/>
        <w:autoSpaceDE w:val="0"/>
        <w:autoSpaceDN w:val="0"/>
        <w:adjustRightInd w:val="0"/>
        <w:spacing w:after="113" w:line="260" w:lineRule="atLeast"/>
        <w:ind w:left="720" w:firstLine="0"/>
        <w:jc w:val="left"/>
        <w:textAlignment w:val="center"/>
        <w:rPr>
          <w:rFonts w:ascii="Tide Sans 300 Lil Kahuna" w:hAnsi="Tide Sans 300 Lil Kahuna" w:cs="Tide Sans 300 Lil Kahuna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-</w:t>
      </w:r>
      <w:r w:rsidRPr="00B32B8B">
        <w:rPr>
          <w:rFonts w:ascii="Tide Sans 300 Lil Kahuna" w:hAnsi="Tide Sans 300 Lil Kahuna" w:cs="Tide Sans 300 Lil Kahuna"/>
          <w:lang w:val="pl-PL"/>
        </w:rPr>
        <w:t xml:space="preserve"> finansowanie działalności gospodarczej,</w:t>
      </w:r>
    </w:p>
    <w:p w14:paraId="1F59C29A" w14:textId="77777777" w:rsidR="00BD4788" w:rsidRPr="00B32B8B" w:rsidRDefault="00BD4788" w:rsidP="00BD4788">
      <w:pPr>
        <w:pStyle w:val="Akapitzlist"/>
        <w:suppressAutoHyphens/>
        <w:autoSpaceDE w:val="0"/>
        <w:autoSpaceDN w:val="0"/>
        <w:adjustRightInd w:val="0"/>
        <w:spacing w:after="113" w:line="260" w:lineRule="atLeast"/>
        <w:ind w:left="720" w:firstLine="0"/>
        <w:jc w:val="left"/>
        <w:textAlignment w:val="center"/>
        <w:rPr>
          <w:rFonts w:ascii="Tide Sans 300 Lil Kahuna" w:hAnsi="Tide Sans 300 Lil Kahuna" w:cs="Tide Sans 300 Lil Kahuna"/>
          <w:lang w:val="pl-PL"/>
        </w:rPr>
      </w:pPr>
      <w:r w:rsidRPr="00B32B8B">
        <w:rPr>
          <w:rFonts w:ascii="Tide Sans 300 Lil Kahuna" w:hAnsi="Tide Sans 300 Lil Kahuna" w:cs="Tide Sans 300 Lil Kahuna"/>
          <w:lang w:val="pl-PL"/>
        </w:rPr>
        <w:t>- finansowanie inwestycji,</w:t>
      </w:r>
    </w:p>
    <w:p w14:paraId="518B405F" w14:textId="77777777" w:rsidR="00BD4788" w:rsidRPr="00B32B8B" w:rsidRDefault="00BD4788" w:rsidP="00BD4788">
      <w:pPr>
        <w:pStyle w:val="Akapitzlist"/>
        <w:suppressAutoHyphens/>
        <w:autoSpaceDE w:val="0"/>
        <w:autoSpaceDN w:val="0"/>
        <w:adjustRightInd w:val="0"/>
        <w:spacing w:after="113" w:line="260" w:lineRule="atLeast"/>
        <w:ind w:left="720" w:firstLine="0"/>
        <w:jc w:val="left"/>
        <w:textAlignment w:val="center"/>
        <w:rPr>
          <w:rFonts w:ascii="Tide Sans 300 Lil Kahuna" w:hAnsi="Tide Sans 300 Lil Kahuna" w:cs="Tide Sans 300 Lil Kahuna"/>
          <w:lang w:val="pl-PL"/>
        </w:rPr>
      </w:pPr>
      <w:r w:rsidRPr="00B32B8B">
        <w:rPr>
          <w:rFonts w:ascii="Tide Sans 300 Lil Kahuna" w:hAnsi="Tide Sans 300 Lil Kahuna" w:cs="Tide Sans 300 Lil Kahuna"/>
          <w:lang w:val="pl-PL"/>
        </w:rPr>
        <w:t>- tworzenie nowych miejsc pracy,</w:t>
      </w:r>
    </w:p>
    <w:p w14:paraId="66315FB7" w14:textId="77777777" w:rsidR="00BD4788" w:rsidRPr="00B32B8B" w:rsidRDefault="00BD4788" w:rsidP="00BD4788">
      <w:pPr>
        <w:pStyle w:val="Akapitzlist"/>
        <w:suppressAutoHyphens/>
        <w:autoSpaceDE w:val="0"/>
        <w:autoSpaceDN w:val="0"/>
        <w:adjustRightInd w:val="0"/>
        <w:spacing w:after="113" w:line="260" w:lineRule="atLeast"/>
        <w:ind w:left="720" w:firstLine="0"/>
        <w:jc w:val="left"/>
        <w:textAlignment w:val="center"/>
        <w:rPr>
          <w:rFonts w:ascii="Tide Sans 300 Lil Kahuna" w:hAnsi="Tide Sans 300 Lil Kahuna" w:cs="Tide Sans 300 Lil Kahuna"/>
          <w:lang w:val="pl-PL"/>
        </w:rPr>
      </w:pPr>
      <w:r w:rsidRPr="00B32B8B">
        <w:rPr>
          <w:rFonts w:ascii="Tide Sans 300 Lil Kahuna" w:hAnsi="Tide Sans 300 Lil Kahuna" w:cs="Tide Sans 300 Lil Kahuna"/>
          <w:lang w:val="pl-PL"/>
        </w:rPr>
        <w:t>- wdrażanie nowych rozwiązań technicznych lub technologicznych,</w:t>
      </w:r>
    </w:p>
    <w:p w14:paraId="0F31DC34" w14:textId="2DF7AA73" w:rsidR="00BD4788" w:rsidRPr="00B32B8B" w:rsidRDefault="00BD4788" w:rsidP="00BD4788">
      <w:pPr>
        <w:pStyle w:val="Akapitzlist"/>
        <w:suppressAutoHyphens/>
        <w:autoSpaceDE w:val="0"/>
        <w:autoSpaceDN w:val="0"/>
        <w:adjustRightInd w:val="0"/>
        <w:spacing w:before="227" w:after="170" w:line="260" w:lineRule="atLeast"/>
        <w:ind w:left="720" w:firstLine="0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300 Lil Kahuna" w:hAnsi="Tide Sans 300 Lil Kahuna" w:cs="Tide Sans 300 Lil Kahuna"/>
          <w:lang w:val="pl-PL"/>
        </w:rPr>
        <w:t xml:space="preserve">- </w:t>
      </w:r>
      <w:proofErr w:type="spellStart"/>
      <w:r w:rsidRPr="00B32B8B">
        <w:rPr>
          <w:rFonts w:ascii="Tide Sans 300 Lil Kahuna" w:hAnsi="Tide Sans 300 Lil Kahuna" w:cs="Tide Sans 300 Lil Kahuna"/>
        </w:rPr>
        <w:t>realizowanie</w:t>
      </w:r>
      <w:proofErr w:type="spellEnd"/>
      <w:r w:rsidRPr="00B32B8B">
        <w:rPr>
          <w:rFonts w:ascii="Tide Sans 300 Lil Kahuna" w:hAnsi="Tide Sans 300 Lil Kahuna" w:cs="Tide Sans 300 Lil Kahuna"/>
        </w:rPr>
        <w:t xml:space="preserve"> </w:t>
      </w:r>
      <w:proofErr w:type="spellStart"/>
      <w:r w:rsidRPr="00B32B8B">
        <w:rPr>
          <w:rFonts w:ascii="Tide Sans 300 Lil Kahuna" w:hAnsi="Tide Sans 300 Lil Kahuna" w:cs="Tide Sans 300 Lil Kahuna"/>
        </w:rPr>
        <w:t>kontraktów</w:t>
      </w:r>
      <w:proofErr w:type="spellEnd"/>
      <w:r w:rsidRPr="00B32B8B">
        <w:rPr>
          <w:rFonts w:ascii="Tide Sans 300 Lil Kahuna" w:hAnsi="Tide Sans 300 Lil Kahuna" w:cs="Tide Sans 300 Lil Kahuna"/>
        </w:rPr>
        <w:t xml:space="preserve"> </w:t>
      </w:r>
      <w:proofErr w:type="spellStart"/>
      <w:r w:rsidRPr="00B32B8B">
        <w:rPr>
          <w:rFonts w:ascii="Tide Sans 300 Lil Kahuna" w:hAnsi="Tide Sans 300 Lil Kahuna" w:cs="Tide Sans 300 Lil Kahuna"/>
        </w:rPr>
        <w:t>eksportowych</w:t>
      </w:r>
      <w:proofErr w:type="spellEnd"/>
      <w:r w:rsidR="00BB59A8">
        <w:rPr>
          <w:rFonts w:ascii="Tide Sans 300 Lil Kahuna" w:hAnsi="Tide Sans 300 Lil Kahuna" w:cs="Tide Sans 300 Lil Kahuna"/>
        </w:rPr>
        <w:t>;</w:t>
      </w: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 xml:space="preserve"> </w:t>
      </w:r>
    </w:p>
    <w:p w14:paraId="06D97FE0" w14:textId="40445CEB" w:rsidR="001B5271" w:rsidRPr="00B32B8B" w:rsidRDefault="001B5271" w:rsidP="00E27998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długi okres gwarancji</w:t>
      </w:r>
      <w:r w:rsidRPr="00B32B8B">
        <w:rPr>
          <w:rFonts w:ascii="Tide Sans 500 Dudette" w:hAnsi="Tide Sans 500 Dudette" w:cs="Tide Sans 500 Dudette"/>
          <w:sz w:val="24"/>
          <w:szCs w:val="24"/>
          <w:lang w:val="pl-PL"/>
        </w:rPr>
        <w:t xml:space="preserve">: do </w:t>
      </w:r>
      <w:r w:rsidR="008C44C9" w:rsidRPr="00B32B8B">
        <w:rPr>
          <w:rFonts w:ascii="Tide Sans 500 Dudette" w:hAnsi="Tide Sans 500 Dudette" w:cs="Tide Sans 500 Dudette"/>
          <w:sz w:val="24"/>
          <w:szCs w:val="24"/>
          <w:lang w:val="pl-PL"/>
        </w:rPr>
        <w:t>102 miesięcy dla gwarancji zabezpieczających kredyty obrotowe i do 123 – kredyty inwestycyjne</w:t>
      </w:r>
      <w:r w:rsidRPr="00B32B8B">
        <w:rPr>
          <w:rFonts w:ascii="Tide Sans 500 Dudette" w:hAnsi="Tide Sans 500 Dudette" w:cs="Tide Sans 500 Dudette"/>
          <w:sz w:val="24"/>
          <w:szCs w:val="24"/>
          <w:lang w:val="pl-PL"/>
        </w:rPr>
        <w:t>;</w:t>
      </w:r>
    </w:p>
    <w:p w14:paraId="610B64B4" w14:textId="53DDE4E4" w:rsidR="001B5271" w:rsidRPr="00B32B8B" w:rsidRDefault="00BB59A8" w:rsidP="00E27998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>
        <w:rPr>
          <w:rFonts w:ascii="Tide Sans 500 Dudette" w:hAnsi="Tide Sans 500 Dudette" w:cs="Tide Sans 500 Dudette"/>
          <w:b/>
          <w:sz w:val="24"/>
          <w:szCs w:val="24"/>
          <w:lang w:val="pl-PL"/>
        </w:rPr>
        <w:t xml:space="preserve">jednostkowa </w:t>
      </w:r>
      <w:r w:rsidR="008C44C9"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gwarancja do 80% kredytu i do 500 000,00 zł</w:t>
      </w:r>
      <w:r>
        <w:rPr>
          <w:rFonts w:ascii="Tide Sans 500 Dudette" w:hAnsi="Tide Sans 500 Dudette" w:cs="Tide Sans 500 Dudette"/>
          <w:b/>
          <w:sz w:val="24"/>
          <w:szCs w:val="24"/>
          <w:lang w:val="pl-PL"/>
        </w:rPr>
        <w:t>;</w:t>
      </w:r>
    </w:p>
    <w:p w14:paraId="0D232D4D" w14:textId="77777777" w:rsidR="001B5271" w:rsidRPr="00B32B8B" w:rsidRDefault="001B5271" w:rsidP="001B5271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niska prowizja</w:t>
      </w:r>
      <w:r w:rsidRPr="00B32B8B">
        <w:rPr>
          <w:rFonts w:ascii="Tide Sans 500 Dudette" w:hAnsi="Tide Sans 500 Dudette" w:cs="Tide Sans 500 Dudette"/>
          <w:sz w:val="24"/>
          <w:szCs w:val="24"/>
          <w:lang w:val="pl-PL"/>
        </w:rPr>
        <w:t xml:space="preserve"> za udzielenie gwarancji: jedynie 0.5% od kwoty gwarancji za cały okres trwania gwarancji;</w:t>
      </w:r>
    </w:p>
    <w:p w14:paraId="198DA9A2" w14:textId="77777777" w:rsidR="00686017" w:rsidRPr="00B32B8B" w:rsidRDefault="00686017" w:rsidP="00E27998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B32B8B">
        <w:rPr>
          <w:rFonts w:ascii="Tide Sans 500 Dudette" w:hAnsi="Tide Sans 500 Dudette" w:cs="Tide Sans 500 Dudette"/>
          <w:b/>
          <w:sz w:val="24"/>
          <w:szCs w:val="24"/>
          <w:lang w:val="pl-PL"/>
        </w:rPr>
        <w:t>zabezpieczenie alternatywne</w:t>
      </w:r>
      <w:r w:rsidRPr="00B32B8B">
        <w:rPr>
          <w:rFonts w:ascii="Tide Sans 500 Dudette" w:hAnsi="Tide Sans 500 Dudette" w:cs="Tide Sans 500 Dudette"/>
          <w:sz w:val="24"/>
          <w:szCs w:val="24"/>
          <w:lang w:val="pl-PL"/>
        </w:rPr>
        <w:t xml:space="preserve"> dla PES nie posiadających </w:t>
      </w:r>
      <w:r w:rsidR="00076A2C" w:rsidRPr="00B32B8B">
        <w:rPr>
          <w:rFonts w:ascii="Tide Sans 500 Dudette" w:hAnsi="Tide Sans 500 Dudette" w:cs="Tide Sans 500 Dudette"/>
          <w:sz w:val="24"/>
          <w:szCs w:val="24"/>
          <w:lang w:val="pl-PL"/>
        </w:rPr>
        <w:t>majątku mogącego stanowić zabezpieczenie zaciąganego kredytu;</w:t>
      </w:r>
    </w:p>
    <w:p w14:paraId="6AB16A57" w14:textId="37E9A63E" w:rsidR="00BB59A8" w:rsidRPr="000D66D9" w:rsidRDefault="001B5271" w:rsidP="00B32B8B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sz w:val="24"/>
          <w:szCs w:val="24"/>
          <w:lang w:val="pl-PL"/>
        </w:rPr>
      </w:pPr>
      <w:r w:rsidRPr="000D66D9">
        <w:rPr>
          <w:rFonts w:ascii="Tide Sans 500 Dudette" w:hAnsi="Tide Sans 500 Dudette" w:cs="Tide Sans 500 Dudette"/>
          <w:b/>
          <w:sz w:val="24"/>
          <w:szCs w:val="24"/>
          <w:lang w:val="pl-PL"/>
        </w:rPr>
        <w:lastRenderedPageBreak/>
        <w:t xml:space="preserve">brak konieczności zabezpieczenia gwarancji na majątku PES; </w:t>
      </w:r>
      <w:r w:rsidRPr="000D66D9">
        <w:rPr>
          <w:rFonts w:ascii="Tide Sans 500 Dudette" w:hAnsi="Tide Sans 500 Dudette" w:cs="Tide Sans 500 Dudette"/>
          <w:sz w:val="24"/>
          <w:szCs w:val="24"/>
          <w:lang w:val="pl-PL"/>
        </w:rPr>
        <w:t>zabezpieczenie wyłącznie w formie</w:t>
      </w:r>
      <w:r w:rsidR="00076A2C" w:rsidRPr="000D66D9">
        <w:rPr>
          <w:rFonts w:ascii="Tide Sans 500 Dudette" w:hAnsi="Tide Sans 500 Dudette" w:cs="Tide Sans 500 Dudette"/>
          <w:sz w:val="24"/>
          <w:szCs w:val="24"/>
          <w:lang w:val="pl-PL"/>
        </w:rPr>
        <w:t xml:space="preserve"> weksl</w:t>
      </w:r>
      <w:r w:rsidRPr="000D66D9">
        <w:rPr>
          <w:rFonts w:ascii="Tide Sans 500 Dudette" w:hAnsi="Tide Sans 500 Dudette" w:cs="Tide Sans 500 Dudette"/>
          <w:sz w:val="24"/>
          <w:szCs w:val="24"/>
          <w:lang w:val="pl-PL"/>
        </w:rPr>
        <w:t>a</w:t>
      </w:r>
      <w:r w:rsidR="00076A2C" w:rsidRPr="000D66D9">
        <w:rPr>
          <w:rFonts w:ascii="Tide Sans 500 Dudette" w:hAnsi="Tide Sans 500 Dudette" w:cs="Tide Sans 500 Dudette"/>
          <w:sz w:val="24"/>
          <w:szCs w:val="24"/>
          <w:lang w:val="pl-PL"/>
        </w:rPr>
        <w:t xml:space="preserve"> </w:t>
      </w:r>
      <w:r w:rsidR="00686017" w:rsidRPr="000D66D9">
        <w:rPr>
          <w:rFonts w:ascii="Tide Sans 500 Dudette" w:hAnsi="Tide Sans 500 Dudette" w:cs="Tide Sans 500 Dudette"/>
          <w:sz w:val="24"/>
          <w:szCs w:val="24"/>
          <w:lang w:val="pl-PL"/>
        </w:rPr>
        <w:t>in blanco</w:t>
      </w:r>
      <w:r w:rsidRPr="000D66D9">
        <w:rPr>
          <w:rFonts w:ascii="Tide Sans 500 Dudette" w:hAnsi="Tide Sans 500 Dudette" w:cs="Tide Sans 500 Dudette"/>
          <w:sz w:val="24"/>
          <w:szCs w:val="24"/>
          <w:lang w:val="pl-PL"/>
        </w:rPr>
        <w:t xml:space="preserve"> wraz z deklaracją</w:t>
      </w:r>
      <w:r w:rsidR="00BB59A8" w:rsidRPr="000D66D9">
        <w:rPr>
          <w:rFonts w:ascii="Tide Sans 500 Dudette" w:hAnsi="Tide Sans 500 Dudette" w:cs="Tide Sans 500 Dudette"/>
          <w:sz w:val="24"/>
          <w:szCs w:val="24"/>
          <w:lang w:val="pl-PL"/>
        </w:rPr>
        <w:t>.</w:t>
      </w:r>
    </w:p>
    <w:p w14:paraId="3349782D" w14:textId="77777777" w:rsidR="00BD1A85" w:rsidRPr="00BD4788" w:rsidRDefault="00BD1A85" w:rsidP="00BD1A85">
      <w:pPr>
        <w:suppressAutoHyphens/>
        <w:autoSpaceDE w:val="0"/>
        <w:autoSpaceDN w:val="0"/>
        <w:adjustRightInd w:val="0"/>
        <w:spacing w:before="227" w:after="170" w:line="260" w:lineRule="atLeast"/>
        <w:jc w:val="left"/>
        <w:textAlignment w:val="center"/>
        <w:rPr>
          <w:rFonts w:ascii="Tide Sans 500 Dudette" w:hAnsi="Tide Sans 500 Dudette" w:cs="Tide Sans 500 Dudette"/>
          <w:b/>
          <w:color w:val="E50028"/>
          <w:sz w:val="24"/>
          <w:szCs w:val="24"/>
        </w:rPr>
      </w:pPr>
      <w:r w:rsidRPr="00BD4788">
        <w:rPr>
          <w:rFonts w:ascii="Tide Sans 500 Dudette" w:hAnsi="Tide Sans 500 Dudette" w:cs="Tide Sans 500 Dudette"/>
          <w:b/>
          <w:color w:val="E50028"/>
          <w:sz w:val="24"/>
          <w:szCs w:val="24"/>
        </w:rPr>
        <w:t>Podstawowe warunki udzielenia gwarancji:</w:t>
      </w:r>
    </w:p>
    <w:p w14:paraId="249437C2" w14:textId="77777777" w:rsidR="00BD1A85" w:rsidRPr="00EF2952" w:rsidRDefault="00BD1A85" w:rsidP="00BD1A8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złożenie w Banku kredytującym wniosku o udzielenie gwarancji;</w:t>
      </w:r>
    </w:p>
    <w:p w14:paraId="652BC60C" w14:textId="77777777" w:rsidR="00BD1A85" w:rsidRPr="00EF2952" w:rsidRDefault="00BD1A85" w:rsidP="00BD1A8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posiadanie statusu </w:t>
      </w:r>
      <w:r w:rsidR="00D77119">
        <w:rPr>
          <w:rFonts w:ascii="Tide Sans 300 Lil Kahuna" w:hAnsi="Tide Sans 300 Lil Kahuna" w:cs="Tide Sans 300 Lil Kahuna"/>
          <w:color w:val="546565"/>
          <w:lang w:val="pl-PL"/>
        </w:rPr>
        <w:t>mikro, m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ałego </w:t>
      </w:r>
      <w:r w:rsidR="00D77119">
        <w:rPr>
          <w:rFonts w:ascii="Tide Sans 300 Lil Kahuna" w:hAnsi="Tide Sans 300 Lil Kahuna" w:cs="Tide Sans 300 Lil Kahuna"/>
          <w:color w:val="546565"/>
          <w:lang w:val="pl-PL"/>
        </w:rPr>
        <w:t>lub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 </w:t>
      </w:r>
      <w:r w:rsidR="00D77119">
        <w:rPr>
          <w:rFonts w:ascii="Tide Sans 300 Lil Kahuna" w:hAnsi="Tide Sans 300 Lil Kahuna" w:cs="Tide Sans 300 Lil Kahuna"/>
          <w:color w:val="546565"/>
          <w:lang w:val="pl-PL"/>
        </w:rPr>
        <w:t>ś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redniego </w:t>
      </w:r>
      <w:r w:rsidR="00D77119">
        <w:rPr>
          <w:rFonts w:ascii="Tide Sans 300 Lil Kahuna" w:hAnsi="Tide Sans 300 Lil Kahuna" w:cs="Tide Sans 300 Lil Kahuna"/>
          <w:color w:val="546565"/>
          <w:lang w:val="pl-PL"/>
        </w:rPr>
        <w:t>p</w:t>
      </w:r>
      <w:r w:rsidRPr="00EF2952">
        <w:rPr>
          <w:rFonts w:ascii="Tide Sans 300 Lil Kahuna" w:hAnsi="Tide Sans 300 Lil Kahuna" w:cs="Tide Sans 300 Lil Kahuna"/>
          <w:color w:val="546565"/>
          <w:lang w:val="pl-PL"/>
        </w:rPr>
        <w:t>rzedsiębiorstwa;</w:t>
      </w:r>
    </w:p>
    <w:p w14:paraId="5B599984" w14:textId="77777777" w:rsidR="00BD1A85" w:rsidRPr="00EF2952" w:rsidRDefault="00BD1A85" w:rsidP="00BD1A8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 w:rsidRPr="00EF2952">
        <w:rPr>
          <w:rFonts w:ascii="Tide Sans 300 Lil Kahuna" w:hAnsi="Tide Sans 300 Lil Kahuna" w:cs="Tide Sans 300 Lil Kahuna"/>
          <w:color w:val="546565"/>
          <w:lang w:val="pl-PL"/>
        </w:rPr>
        <w:t>prowadzenie działalności gospodarczej oraz posiadanie zdolności kredytowej;</w:t>
      </w:r>
    </w:p>
    <w:p w14:paraId="17635105" w14:textId="77777777" w:rsidR="00BD1A85" w:rsidRPr="00EF2952" w:rsidRDefault="001B5271" w:rsidP="00BD1A8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>
        <w:rPr>
          <w:rFonts w:ascii="Tide Sans 300 Lil Kahuna" w:hAnsi="Tide Sans 300 Lil Kahuna" w:cs="Tide Sans 300 Lil Kahuna"/>
          <w:color w:val="546565"/>
          <w:lang w:val="pl-PL"/>
        </w:rPr>
        <w:t>brak</w:t>
      </w:r>
      <w:r w:rsidR="00BD1A85" w:rsidRPr="00EF2952">
        <w:rPr>
          <w:rFonts w:ascii="Tide Sans 300 Lil Kahuna" w:hAnsi="Tide Sans 300 Lil Kahuna" w:cs="Tide Sans 300 Lil Kahuna"/>
          <w:color w:val="546565"/>
          <w:lang w:val="pl-PL"/>
        </w:rPr>
        <w:t xml:space="preserve"> wypowiedzianych kredytów, zadłużenia przeterminowanego powyżej 30 dni i powyżej 500 zł;</w:t>
      </w:r>
    </w:p>
    <w:p w14:paraId="5827EE27" w14:textId="77777777" w:rsidR="00BD1A85" w:rsidRPr="00EF2952" w:rsidRDefault="00D77119" w:rsidP="00BD1A85">
      <w:pPr>
        <w:pStyle w:val="Akapitzlist"/>
        <w:numPr>
          <w:ilvl w:val="0"/>
          <w:numId w:val="26"/>
        </w:numPr>
        <w:suppressAutoHyphens/>
        <w:autoSpaceDE w:val="0"/>
        <w:autoSpaceDN w:val="0"/>
        <w:adjustRightInd w:val="0"/>
        <w:spacing w:after="57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  <w:lang w:val="pl-PL"/>
        </w:rPr>
      </w:pPr>
      <w:r>
        <w:rPr>
          <w:rFonts w:ascii="Tide Sans 300 Lil Kahuna" w:hAnsi="Tide Sans 300 Lil Kahuna" w:cs="Tide Sans 300 Lil Kahuna"/>
          <w:color w:val="546565"/>
          <w:lang w:val="pl-PL"/>
        </w:rPr>
        <w:t xml:space="preserve">gwarancje mogą być udzielane łącznie do kwoty </w:t>
      </w:r>
      <w:r w:rsidR="00BD1A85" w:rsidRPr="00EF2952">
        <w:rPr>
          <w:rFonts w:ascii="Tide Sans 300 Lil Kahuna" w:hAnsi="Tide Sans 300 Lil Kahuna" w:cs="Tide Sans 300 Lil Kahuna"/>
          <w:color w:val="546565"/>
          <w:lang w:val="pl-PL"/>
        </w:rPr>
        <w:t>1 000 000,00 złotych</w:t>
      </w:r>
      <w:r>
        <w:rPr>
          <w:rFonts w:ascii="Tide Sans 300 Lil Kahuna" w:hAnsi="Tide Sans 300 Lil Kahuna" w:cs="Tide Sans 300 Lil Kahuna"/>
          <w:color w:val="546565"/>
          <w:lang w:val="pl-PL"/>
        </w:rPr>
        <w:t xml:space="preserve"> dla jednego PES</w:t>
      </w:r>
      <w:r w:rsidR="001B5271">
        <w:rPr>
          <w:rFonts w:ascii="Tide Sans 300 Lil Kahuna" w:hAnsi="Tide Sans 300 Lil Kahuna" w:cs="Tide Sans 300 Lil Kahuna"/>
          <w:color w:val="546565"/>
          <w:lang w:val="pl-PL"/>
        </w:rPr>
        <w:t>.</w:t>
      </w:r>
    </w:p>
    <w:p w14:paraId="7D928C88" w14:textId="77777777" w:rsidR="00BD1A85" w:rsidRPr="00B32B8B" w:rsidRDefault="00BD1A85" w:rsidP="00B32B8B">
      <w:pPr>
        <w:suppressAutoHyphens/>
        <w:autoSpaceDE w:val="0"/>
        <w:autoSpaceDN w:val="0"/>
        <w:adjustRightInd w:val="0"/>
        <w:spacing w:before="227" w:after="283" w:line="260" w:lineRule="atLeast"/>
        <w:jc w:val="left"/>
        <w:textAlignment w:val="center"/>
        <w:rPr>
          <w:rFonts w:ascii="Tide Sans 500 Dudette" w:hAnsi="Tide Sans 500 Dudette" w:cs="Tide Sans 500 Dudette"/>
          <w:b/>
          <w:color w:val="E50028"/>
          <w:sz w:val="24"/>
          <w:szCs w:val="24"/>
        </w:rPr>
      </w:pPr>
      <w:r w:rsidRPr="00B32B8B">
        <w:rPr>
          <w:rFonts w:ascii="Tide Sans 500 Dudette" w:hAnsi="Tide Sans 500 Dudette" w:cs="Tide Sans 500 Dudette"/>
          <w:b/>
          <w:color w:val="E50028"/>
          <w:sz w:val="24"/>
          <w:szCs w:val="24"/>
        </w:rPr>
        <w:t xml:space="preserve">Pomoc de </w:t>
      </w:r>
      <w:proofErr w:type="spellStart"/>
      <w:r w:rsidRPr="00B32B8B">
        <w:rPr>
          <w:rFonts w:ascii="Tide Sans 500 Dudette" w:hAnsi="Tide Sans 500 Dudette" w:cs="Tide Sans 500 Dudette"/>
          <w:b/>
          <w:color w:val="E50028"/>
          <w:sz w:val="24"/>
          <w:szCs w:val="24"/>
        </w:rPr>
        <w:t>minimis</w:t>
      </w:r>
      <w:proofErr w:type="spellEnd"/>
      <w:r w:rsidRPr="00B32B8B">
        <w:rPr>
          <w:rFonts w:ascii="Tide Sans 500 Dudette" w:hAnsi="Tide Sans 500 Dudette" w:cs="Tide Sans 500 Dudette"/>
          <w:b/>
          <w:color w:val="E50028"/>
          <w:sz w:val="24"/>
          <w:szCs w:val="24"/>
        </w:rPr>
        <w:t xml:space="preserve"> </w:t>
      </w:r>
    </w:p>
    <w:p w14:paraId="7A262A93" w14:textId="77777777" w:rsidR="00BD1A85" w:rsidRPr="00BD1A85" w:rsidRDefault="00BD1A85" w:rsidP="00BD1A85">
      <w:pPr>
        <w:suppressAutoHyphens/>
        <w:autoSpaceDE w:val="0"/>
        <w:autoSpaceDN w:val="0"/>
        <w:adjustRightInd w:val="0"/>
        <w:spacing w:after="113" w:line="260" w:lineRule="atLeast"/>
        <w:jc w:val="left"/>
        <w:textAlignment w:val="center"/>
        <w:rPr>
          <w:rFonts w:ascii="Tide Sans 300 Lil Kahuna" w:hAnsi="Tide Sans 300 Lil Kahuna" w:cs="Tide Sans 300 Lil Kahuna"/>
          <w:color w:val="546565"/>
        </w:rPr>
      </w:pPr>
      <w:r w:rsidRPr="00BD1A85">
        <w:rPr>
          <w:rFonts w:ascii="Tide Sans 300 Lil Kahuna" w:hAnsi="Tide Sans 300 Lil Kahuna" w:cs="Tide Sans 300 Lil Kahuna"/>
          <w:color w:val="546565"/>
        </w:rPr>
        <w:t xml:space="preserve">Ze względu na preferencyjne warunki udzielania gwarancji, każde jej udzielenie oznacza udzielenie pomocy de </w:t>
      </w:r>
      <w:proofErr w:type="spellStart"/>
      <w:r w:rsidRPr="00BD1A85">
        <w:rPr>
          <w:rFonts w:ascii="Tide Sans 300 Lil Kahuna" w:hAnsi="Tide Sans 300 Lil Kahuna" w:cs="Tide Sans 300 Lil Kahuna"/>
          <w:color w:val="546565"/>
        </w:rPr>
        <w:t>minimis</w:t>
      </w:r>
      <w:proofErr w:type="spellEnd"/>
      <w:r w:rsidRPr="00BD1A85">
        <w:rPr>
          <w:rFonts w:ascii="Tide Sans 300 Lil Kahuna" w:hAnsi="Tide Sans 300 Lil Kahuna" w:cs="Tide Sans 300 Lil Kahuna"/>
          <w:color w:val="546565"/>
        </w:rPr>
        <w:t>.</w:t>
      </w:r>
    </w:p>
    <w:p w14:paraId="253C3C45" w14:textId="77777777" w:rsidR="00BD1A85" w:rsidRPr="00B32B8B" w:rsidRDefault="00BD1A85" w:rsidP="00B32B8B">
      <w:pPr>
        <w:suppressAutoHyphens/>
        <w:autoSpaceDE w:val="0"/>
        <w:autoSpaceDN w:val="0"/>
        <w:adjustRightInd w:val="0"/>
        <w:spacing w:before="227" w:after="283" w:line="260" w:lineRule="atLeast"/>
        <w:jc w:val="left"/>
        <w:textAlignment w:val="center"/>
        <w:rPr>
          <w:b/>
        </w:rPr>
      </w:pPr>
      <w:r w:rsidRPr="00B32B8B">
        <w:rPr>
          <w:rFonts w:ascii="Tide Sans 500 Dudette" w:hAnsi="Tide Sans 500 Dudette" w:cs="Tide Sans 500 Dudette"/>
          <w:b/>
          <w:color w:val="E50028"/>
          <w:sz w:val="24"/>
          <w:szCs w:val="24"/>
        </w:rPr>
        <w:t xml:space="preserve">Jak skorzystać ze wsparcia? </w:t>
      </w:r>
    </w:p>
    <w:p w14:paraId="12E0E814" w14:textId="77777777" w:rsidR="00BD1A85" w:rsidRDefault="00BD1A85" w:rsidP="00BD1A85">
      <w:pPr>
        <w:pStyle w:val="Podstawowyakapitowy"/>
        <w:spacing w:before="57" w:after="57"/>
      </w:pPr>
      <w:r>
        <w:t xml:space="preserve">Wystarczy złożenie wniosku  o udzielenie gwarancji w </w:t>
      </w:r>
      <w:r w:rsidR="00D77119">
        <w:t xml:space="preserve">banku </w:t>
      </w:r>
      <w:r>
        <w:t>kredytującym.</w:t>
      </w:r>
    </w:p>
    <w:p w14:paraId="593405E8" w14:textId="77777777" w:rsidR="00BD1A85" w:rsidRPr="00BD1A85" w:rsidRDefault="00BD1A85" w:rsidP="00BD1A85">
      <w:pPr>
        <w:pStyle w:val="Nagwek"/>
        <w:rPr>
          <w:lang w:val="en-US"/>
        </w:rPr>
      </w:pPr>
      <w:r w:rsidRPr="00BD1A85">
        <w:rPr>
          <w:lang w:val="en-US"/>
        </w:rPr>
        <w:t xml:space="preserve">SGB-Bank S.A. </w:t>
      </w:r>
    </w:p>
    <w:p w14:paraId="3BD3696D" w14:textId="77777777" w:rsidR="00BD1A85" w:rsidRPr="00BD1A85" w:rsidRDefault="00BD1A85" w:rsidP="00BD1A85">
      <w:pPr>
        <w:pStyle w:val="Podstawowyakapitowy"/>
        <w:spacing w:before="57" w:after="57"/>
        <w:rPr>
          <w:lang w:val="en-US"/>
        </w:rPr>
      </w:pPr>
      <w:r w:rsidRPr="00BD1A85">
        <w:rPr>
          <w:lang w:val="en-US"/>
        </w:rPr>
        <w:t xml:space="preserve">tel.: 800 888 888, </w:t>
      </w:r>
    </w:p>
    <w:p w14:paraId="388053C3" w14:textId="77777777" w:rsidR="00BD1A85" w:rsidRPr="00BD1A85" w:rsidRDefault="00BD1A85" w:rsidP="00BD1A85">
      <w:pPr>
        <w:pStyle w:val="Podstawowyakapitowy"/>
        <w:spacing w:before="57" w:after="57"/>
        <w:rPr>
          <w:lang w:val="en-US"/>
        </w:rPr>
      </w:pPr>
      <w:r w:rsidRPr="00BD1A85">
        <w:rPr>
          <w:lang w:val="en-US"/>
        </w:rPr>
        <w:t>tel.: (+48) 61 647 28 46</w:t>
      </w:r>
    </w:p>
    <w:p w14:paraId="2E1A3F86" w14:textId="77777777" w:rsidR="00BD1A85" w:rsidRPr="00BD1A85" w:rsidRDefault="00BD1A85" w:rsidP="00BD1A85">
      <w:pPr>
        <w:pStyle w:val="Podstawowyakapitowy"/>
        <w:spacing w:before="57" w:after="57"/>
        <w:rPr>
          <w:rStyle w:val="Czerwony"/>
          <w:lang w:val="en-US"/>
        </w:rPr>
      </w:pPr>
      <w:r w:rsidRPr="00BD1A85">
        <w:rPr>
          <w:lang w:val="en-US"/>
        </w:rPr>
        <w:t xml:space="preserve">e-mail: </w:t>
      </w:r>
      <w:r w:rsidRPr="00BD1A85">
        <w:rPr>
          <w:rStyle w:val="Czerwony"/>
          <w:lang w:val="en-US"/>
        </w:rPr>
        <w:t>call.center@sgb.pl</w:t>
      </w:r>
    </w:p>
    <w:p w14:paraId="4003CFCC" w14:textId="77777777" w:rsidR="00BD1A85" w:rsidRDefault="00BD1A85" w:rsidP="00BD1A85">
      <w:pPr>
        <w:pStyle w:val="Podstawowyakapitowy"/>
        <w:spacing w:before="113" w:after="57"/>
      </w:pPr>
      <w:r>
        <w:t>lub</w:t>
      </w:r>
    </w:p>
    <w:p w14:paraId="6D478FF6" w14:textId="77777777" w:rsidR="00BD1A85" w:rsidRDefault="00BD1A85" w:rsidP="00BD1A85">
      <w:pPr>
        <w:pStyle w:val="Nagwek"/>
      </w:pPr>
      <w:r>
        <w:t>Bank Polskiej Spółdzielczości S.A.</w:t>
      </w:r>
    </w:p>
    <w:p w14:paraId="6D6ABBD0" w14:textId="77777777" w:rsidR="00BD1A85" w:rsidRPr="00BD1A85" w:rsidRDefault="00BD1A85" w:rsidP="00BD1A85">
      <w:pPr>
        <w:pStyle w:val="Podstawowyakapitowy"/>
        <w:spacing w:before="57" w:after="57"/>
        <w:rPr>
          <w:lang w:val="en-US"/>
        </w:rPr>
      </w:pPr>
      <w:r w:rsidRPr="00BD1A85">
        <w:rPr>
          <w:lang w:val="en-US"/>
        </w:rPr>
        <w:t>tel. (22) 539 50 77</w:t>
      </w:r>
    </w:p>
    <w:p w14:paraId="32B406AF" w14:textId="77777777" w:rsidR="00BD1A85" w:rsidRPr="00BD1A85" w:rsidRDefault="00BD1A85" w:rsidP="00BD1A85">
      <w:pPr>
        <w:pStyle w:val="Podstawowyakapitowy"/>
        <w:spacing w:before="113" w:after="57"/>
        <w:rPr>
          <w:lang w:val="en-US"/>
        </w:rPr>
      </w:pPr>
      <w:r w:rsidRPr="00BD1A85">
        <w:rPr>
          <w:lang w:val="en-US"/>
        </w:rPr>
        <w:t xml:space="preserve">e-mail: </w:t>
      </w:r>
    </w:p>
    <w:p w14:paraId="3F71459C" w14:textId="77777777" w:rsidR="00BD1A85" w:rsidRPr="00BD1A85" w:rsidRDefault="00BD1A85" w:rsidP="00BD1A85">
      <w:pPr>
        <w:pStyle w:val="Podstawowyakapitowy"/>
        <w:spacing w:after="57"/>
        <w:rPr>
          <w:lang w:val="en-US"/>
        </w:rPr>
      </w:pPr>
      <w:r w:rsidRPr="00BD1A85">
        <w:rPr>
          <w:rStyle w:val="Czerwony"/>
          <w:lang w:val="en-US"/>
        </w:rPr>
        <w:t>elzbieta.jakubiak@bankbps.pl</w:t>
      </w:r>
    </w:p>
    <w:p w14:paraId="778849EF" w14:textId="77777777" w:rsidR="00BB59A8" w:rsidRPr="00B32B8B" w:rsidRDefault="00BB59A8" w:rsidP="00BD1A85">
      <w:pPr>
        <w:pStyle w:val="Podstawowyakapitowy"/>
        <w:spacing w:before="113" w:after="57"/>
        <w:rPr>
          <w:lang w:val="en-US"/>
        </w:rPr>
      </w:pPr>
    </w:p>
    <w:p w14:paraId="428954FA" w14:textId="77777777" w:rsidR="00BD1A85" w:rsidRDefault="00BD1A85" w:rsidP="00BD1A85">
      <w:pPr>
        <w:pStyle w:val="Podstawowyakapitowy"/>
        <w:spacing w:before="113" w:after="57"/>
      </w:pPr>
      <w:r>
        <w:t xml:space="preserve">Szczegółowe informacje na temat programu wsparcia, dostępne są także na stronie: </w:t>
      </w:r>
    </w:p>
    <w:p w14:paraId="298DDE1A" w14:textId="77777777" w:rsidR="00BD1A85" w:rsidRDefault="00BD1A85" w:rsidP="00EF2952">
      <w:pPr>
        <w:pStyle w:val="Podstawowyakapitowy"/>
      </w:pPr>
      <w:r>
        <w:rPr>
          <w:rStyle w:val="Czerwony"/>
        </w:rPr>
        <w:t>www.bgk.pl/ekonomia-spoleczna</w:t>
      </w:r>
    </w:p>
    <w:sectPr w:rsidR="00BD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2DC29" w14:textId="77777777" w:rsidR="007A2003" w:rsidRDefault="007A2003" w:rsidP="00BD1A85">
      <w:pPr>
        <w:spacing w:after="0"/>
      </w:pPr>
      <w:r>
        <w:separator/>
      </w:r>
    </w:p>
  </w:endnote>
  <w:endnote w:type="continuationSeparator" w:id="0">
    <w:p w14:paraId="4B5CFAFC" w14:textId="77777777" w:rsidR="007A2003" w:rsidRDefault="007A2003" w:rsidP="00BD1A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de Sans 300 Lil Kahuna">
    <w:altName w:val="Consolas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Tide Sans 500 Dudette">
    <w:altName w:val="Consolas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604A4" w14:textId="77777777" w:rsidR="007A2003" w:rsidRDefault="007A2003" w:rsidP="00BD1A85">
      <w:pPr>
        <w:spacing w:after="0"/>
      </w:pPr>
      <w:r>
        <w:separator/>
      </w:r>
    </w:p>
  </w:footnote>
  <w:footnote w:type="continuationSeparator" w:id="0">
    <w:p w14:paraId="3E4480BA" w14:textId="77777777" w:rsidR="007A2003" w:rsidRDefault="007A2003" w:rsidP="00BD1A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73"/>
    <w:multiLevelType w:val="hybridMultilevel"/>
    <w:tmpl w:val="3A80D35A"/>
    <w:lvl w:ilvl="0" w:tplc="3216C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0021" w:themeColor="tex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6062"/>
    <w:multiLevelType w:val="hybridMultilevel"/>
    <w:tmpl w:val="A0C079F6"/>
    <w:lvl w:ilvl="0" w:tplc="3216C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0021" w:themeColor="text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9ED"/>
    <w:multiLevelType w:val="hybridMultilevel"/>
    <w:tmpl w:val="7F0A44DE"/>
    <w:lvl w:ilvl="0" w:tplc="3216C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0021" w:themeColor="text2"/>
      </w:rPr>
    </w:lvl>
    <w:lvl w:ilvl="1" w:tplc="3216C8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20021" w:themeColor="text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4B61"/>
    <w:multiLevelType w:val="hybridMultilevel"/>
    <w:tmpl w:val="D6621776"/>
    <w:lvl w:ilvl="0" w:tplc="7C50739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C66E7"/>
    <w:multiLevelType w:val="hybridMultilevel"/>
    <w:tmpl w:val="033EC9A8"/>
    <w:lvl w:ilvl="0" w:tplc="3216C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0021" w:themeColor="text2"/>
      </w:rPr>
    </w:lvl>
    <w:lvl w:ilvl="1" w:tplc="3216C8C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20021" w:themeColor="text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3C9"/>
    <w:multiLevelType w:val="hybridMultilevel"/>
    <w:tmpl w:val="C8B2F46A"/>
    <w:lvl w:ilvl="0" w:tplc="D7BCF848">
      <w:start w:val="1"/>
      <w:numFmt w:val="bullet"/>
      <w:pStyle w:val="Nagwek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037C42"/>
    <w:multiLevelType w:val="hybridMultilevel"/>
    <w:tmpl w:val="335A5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17747"/>
    <w:multiLevelType w:val="multilevel"/>
    <w:tmpl w:val="79645A9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63463367"/>
    <w:multiLevelType w:val="multilevel"/>
    <w:tmpl w:val="8B085432"/>
    <w:lvl w:ilvl="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Litera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B9624F"/>
    <w:multiLevelType w:val="hybridMultilevel"/>
    <w:tmpl w:val="5A8C2CDA"/>
    <w:lvl w:ilvl="0" w:tplc="3216C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20021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41490"/>
    <w:multiLevelType w:val="multilevel"/>
    <w:tmpl w:val="C022508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10"/>
  </w:num>
  <w:num w:numId="5">
    <w:abstractNumId w:val="10"/>
  </w:num>
  <w:num w:numId="6">
    <w:abstractNumId w:val="5"/>
  </w:num>
  <w:num w:numId="7">
    <w:abstractNumId w:val="8"/>
  </w:num>
  <w:num w:numId="8">
    <w:abstractNumId w:val="8"/>
  </w:num>
  <w:num w:numId="9">
    <w:abstractNumId w:val="8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8"/>
  </w:num>
  <w:num w:numId="15">
    <w:abstractNumId w:val="8"/>
  </w:num>
  <w:num w:numId="16">
    <w:abstractNumId w:val="8"/>
  </w:num>
  <w:num w:numId="17">
    <w:abstractNumId w:val="10"/>
  </w:num>
  <w:num w:numId="18">
    <w:abstractNumId w:val="3"/>
  </w:num>
  <w:num w:numId="19">
    <w:abstractNumId w:val="7"/>
  </w:num>
  <w:num w:numId="20">
    <w:abstractNumId w:val="5"/>
  </w:num>
  <w:num w:numId="21">
    <w:abstractNumId w:val="8"/>
  </w:num>
  <w:num w:numId="22">
    <w:abstractNumId w:val="8"/>
  </w:num>
  <w:num w:numId="23">
    <w:abstractNumId w:val="8"/>
  </w:num>
  <w:num w:numId="24">
    <w:abstractNumId w:val="1"/>
  </w:num>
  <w:num w:numId="25">
    <w:abstractNumId w:val="4"/>
  </w:num>
  <w:num w:numId="26">
    <w:abstractNumId w:val="9"/>
  </w:num>
  <w:num w:numId="27">
    <w:abstractNumId w:val="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85"/>
    <w:rsid w:val="00023DD9"/>
    <w:rsid w:val="00076A2C"/>
    <w:rsid w:val="000D66D9"/>
    <w:rsid w:val="001951DB"/>
    <w:rsid w:val="001B47E5"/>
    <w:rsid w:val="001B4B94"/>
    <w:rsid w:val="001B5271"/>
    <w:rsid w:val="001D2EC5"/>
    <w:rsid w:val="00225B47"/>
    <w:rsid w:val="003B5AA3"/>
    <w:rsid w:val="00506DB4"/>
    <w:rsid w:val="00686017"/>
    <w:rsid w:val="007A2003"/>
    <w:rsid w:val="007B19DB"/>
    <w:rsid w:val="007E026B"/>
    <w:rsid w:val="0083710E"/>
    <w:rsid w:val="008A0EFC"/>
    <w:rsid w:val="008C44C9"/>
    <w:rsid w:val="009A2BC5"/>
    <w:rsid w:val="009E6F8D"/>
    <w:rsid w:val="00A70BBD"/>
    <w:rsid w:val="00B32B8B"/>
    <w:rsid w:val="00BB59A8"/>
    <w:rsid w:val="00BD1A85"/>
    <w:rsid w:val="00BD4788"/>
    <w:rsid w:val="00C85A79"/>
    <w:rsid w:val="00CF3B6A"/>
    <w:rsid w:val="00D77119"/>
    <w:rsid w:val="00E27998"/>
    <w:rsid w:val="00EB5DDA"/>
    <w:rsid w:val="00E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9C39"/>
  <w15:chartTrackingRefBased/>
  <w15:docId w15:val="{630263E8-5038-47FD-9710-CD76900E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10E"/>
    <w:pPr>
      <w:spacing w:after="120" w:line="240" w:lineRule="auto"/>
      <w:jc w:val="both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3710E"/>
    <w:pPr>
      <w:spacing w:before="240" w:after="36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10E"/>
    <w:pPr>
      <w:keepNext/>
      <w:keepLines/>
      <w:numPr>
        <w:numId w:val="13"/>
      </w:numPr>
      <w:spacing w:before="120" w:after="240"/>
      <w:ind w:left="72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3710E"/>
    <w:pPr>
      <w:numPr>
        <w:numId w:val="0"/>
      </w:numPr>
      <w:spacing w:before="40" w:after="120"/>
      <w:ind w:left="1500" w:hanging="432"/>
      <w:outlineLvl w:val="2"/>
    </w:pPr>
    <w:rPr>
      <w:rFonts w:ascii="Calibri" w:hAnsi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710E"/>
    <w:rPr>
      <w:b/>
      <w:sz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83710E"/>
    <w:rPr>
      <w:rFonts w:eastAsiaTheme="majorEastAsia" w:cstheme="majorBidi"/>
      <w:b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83710E"/>
    <w:pPr>
      <w:spacing w:after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71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basedOn w:val="Normalny"/>
    <w:uiPriority w:val="1"/>
    <w:qFormat/>
    <w:rsid w:val="0083710E"/>
    <w:pPr>
      <w:spacing w:after="0"/>
    </w:pPr>
  </w:style>
  <w:style w:type="paragraph" w:styleId="Akapitzlist">
    <w:name w:val="List Paragraph"/>
    <w:aliases w:val="lista"/>
    <w:basedOn w:val="Normalny"/>
    <w:link w:val="AkapitzlistZnak"/>
    <w:uiPriority w:val="5"/>
    <w:qFormat/>
    <w:rsid w:val="0083710E"/>
    <w:pPr>
      <w:ind w:left="360" w:hanging="360"/>
      <w:contextualSpacing/>
    </w:pPr>
    <w:rPr>
      <w:lang w:val="en-GB"/>
    </w:rPr>
  </w:style>
  <w:style w:type="character" w:styleId="Wyrnieniedelikatne">
    <w:name w:val="Subtle Emphasis"/>
    <w:aliases w:val="Kursywa"/>
    <w:basedOn w:val="Domylnaczcionkaakapitu"/>
    <w:uiPriority w:val="19"/>
    <w:qFormat/>
    <w:rsid w:val="0083710E"/>
    <w:rPr>
      <w:i/>
      <w:iCs/>
      <w:color w:val="auto"/>
    </w:rPr>
  </w:style>
  <w:style w:type="character" w:styleId="Uwydatnienie">
    <w:name w:val="Emphasis"/>
    <w:basedOn w:val="Domylnaczcionkaakapitu"/>
    <w:uiPriority w:val="20"/>
    <w:qFormat/>
    <w:rsid w:val="0083710E"/>
    <w:rPr>
      <w:b/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3710E"/>
    <w:rPr>
      <w:rFonts w:ascii="Calibri" w:eastAsiaTheme="majorEastAsia" w:hAnsi="Calibri" w:cstheme="majorBidi"/>
      <w:b/>
      <w:sz w:val="24"/>
      <w:szCs w:val="24"/>
    </w:rPr>
  </w:style>
  <w:style w:type="paragraph" w:customStyle="1" w:styleId="Ustp">
    <w:name w:val="Ustęp"/>
    <w:basedOn w:val="Normalny"/>
    <w:link w:val="UstpZnak"/>
    <w:uiPriority w:val="2"/>
    <w:qFormat/>
    <w:rsid w:val="0083710E"/>
    <w:pPr>
      <w:numPr>
        <w:numId w:val="23"/>
      </w:numPr>
    </w:pPr>
    <w:rPr>
      <w:lang w:val="en-GB"/>
    </w:rPr>
  </w:style>
  <w:style w:type="character" w:customStyle="1" w:styleId="UstpZnak">
    <w:name w:val="Ustęp Znak"/>
    <w:basedOn w:val="AkapitzlistZnak"/>
    <w:link w:val="Ustp"/>
    <w:uiPriority w:val="2"/>
    <w:rsid w:val="0083710E"/>
    <w:rPr>
      <w:lang w:val="en-GB"/>
    </w:rPr>
  </w:style>
  <w:style w:type="paragraph" w:customStyle="1" w:styleId="Punkt">
    <w:name w:val="Punkt"/>
    <w:basedOn w:val="Ustp"/>
    <w:link w:val="PunktZnak"/>
    <w:uiPriority w:val="3"/>
    <w:qFormat/>
    <w:rsid w:val="0083710E"/>
    <w:pPr>
      <w:numPr>
        <w:ilvl w:val="1"/>
      </w:numPr>
    </w:pPr>
  </w:style>
  <w:style w:type="character" w:customStyle="1" w:styleId="PunktZnak">
    <w:name w:val="Punkt Znak"/>
    <w:basedOn w:val="UstpZnak"/>
    <w:link w:val="Punkt"/>
    <w:uiPriority w:val="3"/>
    <w:rsid w:val="0083710E"/>
    <w:rPr>
      <w:lang w:val="en-GB"/>
    </w:rPr>
  </w:style>
  <w:style w:type="paragraph" w:customStyle="1" w:styleId="Litera">
    <w:name w:val="Litera"/>
    <w:basedOn w:val="Punkt"/>
    <w:link w:val="LiteraZnak"/>
    <w:uiPriority w:val="4"/>
    <w:qFormat/>
    <w:rsid w:val="0083710E"/>
    <w:pPr>
      <w:numPr>
        <w:ilvl w:val="2"/>
        <w:numId w:val="9"/>
      </w:numPr>
    </w:pPr>
  </w:style>
  <w:style w:type="character" w:customStyle="1" w:styleId="LiteraZnak">
    <w:name w:val="Litera Znak"/>
    <w:basedOn w:val="PunktZnak"/>
    <w:link w:val="Litera"/>
    <w:uiPriority w:val="4"/>
    <w:rsid w:val="0083710E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023DD9"/>
    <w:rPr>
      <w:color w:val="0000FF" w:themeColor="hyperlink"/>
      <w:u w:val="single"/>
    </w:rPr>
  </w:style>
  <w:style w:type="character" w:customStyle="1" w:styleId="AkapitzlistZnak">
    <w:name w:val="Akapit z listą Znak"/>
    <w:aliases w:val="lista Znak"/>
    <w:basedOn w:val="Domylnaczcionkaakapitu"/>
    <w:link w:val="Akapitzlist"/>
    <w:uiPriority w:val="5"/>
    <w:rsid w:val="0083710E"/>
    <w:rPr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10E"/>
    <w:pPr>
      <w:numPr>
        <w:ilvl w:val="1"/>
      </w:numPr>
      <w:spacing w:after="160"/>
      <w:jc w:val="center"/>
    </w:pPr>
    <w:rPr>
      <w:rFonts w:eastAsiaTheme="minorEastAsia"/>
      <w:b/>
      <w:color w:val="ACACAC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710E"/>
    <w:rPr>
      <w:rFonts w:eastAsiaTheme="minorEastAsia"/>
      <w:b/>
      <w:color w:val="ACACAC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83710E"/>
    <w:rPr>
      <w:b/>
      <w:bCs/>
    </w:rPr>
  </w:style>
  <w:style w:type="character" w:styleId="Wyrnienieintensywne">
    <w:name w:val="Intense Emphasis"/>
    <w:aliases w:val="Kolor"/>
    <w:basedOn w:val="Domylnaczcionkaakapitu"/>
    <w:uiPriority w:val="21"/>
    <w:qFormat/>
    <w:rsid w:val="0083710E"/>
    <w:rPr>
      <w:i w:val="0"/>
      <w:iCs/>
      <w:color w:val="DA2038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A8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A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A8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A8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A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A85"/>
    <w:rPr>
      <w:vertAlign w:val="superscript"/>
    </w:rPr>
  </w:style>
  <w:style w:type="paragraph" w:customStyle="1" w:styleId="Podstawowyakapitowy">
    <w:name w:val="[Podstawowy akapitowy]"/>
    <w:basedOn w:val="Normalny"/>
    <w:uiPriority w:val="99"/>
    <w:rsid w:val="00BD1A85"/>
    <w:pPr>
      <w:suppressAutoHyphens/>
      <w:autoSpaceDE w:val="0"/>
      <w:autoSpaceDN w:val="0"/>
      <w:adjustRightInd w:val="0"/>
      <w:spacing w:after="113" w:line="260" w:lineRule="atLeast"/>
      <w:jc w:val="left"/>
      <w:textAlignment w:val="center"/>
    </w:pPr>
    <w:rPr>
      <w:rFonts w:ascii="Tide Sans 300 Lil Kahuna" w:hAnsi="Tide Sans 300 Lil Kahuna" w:cs="Tide Sans 300 Lil Kahuna"/>
      <w:color w:val="546565"/>
    </w:rPr>
  </w:style>
  <w:style w:type="paragraph" w:styleId="Nagwek">
    <w:name w:val="header"/>
    <w:basedOn w:val="Podstawowyakapitowy"/>
    <w:link w:val="NagwekZnak"/>
    <w:uiPriority w:val="99"/>
    <w:rsid w:val="00BD1A85"/>
    <w:pPr>
      <w:spacing w:before="227"/>
    </w:pPr>
    <w:rPr>
      <w:rFonts w:ascii="Tide Sans 500 Dudette" w:hAnsi="Tide Sans 500 Dudette" w:cs="Tide Sans 500 Dudette"/>
      <w:color w:val="E5002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D1A85"/>
    <w:rPr>
      <w:rFonts w:ascii="Tide Sans 500 Dudette" w:hAnsi="Tide Sans 500 Dudette" w:cs="Tide Sans 500 Dudette"/>
      <w:color w:val="E50028"/>
      <w:sz w:val="24"/>
      <w:szCs w:val="24"/>
    </w:rPr>
  </w:style>
  <w:style w:type="character" w:customStyle="1" w:styleId="Czerwony">
    <w:name w:val="Czerwony"/>
    <w:uiPriority w:val="99"/>
    <w:rsid w:val="00BD1A85"/>
    <w:rPr>
      <w:color w:val="E500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GK">
  <a:themeElements>
    <a:clrScheme name="New BGK">
      <a:dk1>
        <a:srgbClr val="7F7F7F"/>
      </a:dk1>
      <a:lt1>
        <a:sysClr val="window" lastClr="FFFFFF"/>
      </a:lt1>
      <a:dk2>
        <a:srgbClr val="C20021"/>
      </a:dk2>
      <a:lt2>
        <a:srgbClr val="EEECE1"/>
      </a:lt2>
      <a:accent1>
        <a:srgbClr val="DA2038"/>
      </a:accent1>
      <a:accent2>
        <a:srgbClr val="AA0023"/>
      </a:accent2>
      <a:accent3>
        <a:srgbClr val="7F7F7F"/>
      </a:accent3>
      <a:accent4>
        <a:srgbClr val="BFBFBF"/>
      </a:accent4>
      <a:accent5>
        <a:srgbClr val="7C0F1E"/>
      </a:accent5>
      <a:accent6>
        <a:srgbClr val="5F5F5F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GK" id="{B1836BAB-42E6-4C94-9E8B-07F97573F430}" vid="{53A69D42-8095-4419-82BC-804B0ADF44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7E43-580F-49DC-BFD8-20136405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Andrzejewski, Mateusz</dc:creator>
  <cp:keywords/>
  <dc:description/>
  <cp:lastModifiedBy>Malwina Dworzyńska</cp:lastModifiedBy>
  <cp:revision>2</cp:revision>
  <dcterms:created xsi:type="dcterms:W3CDTF">2018-07-04T11:50:00Z</dcterms:created>
  <dcterms:modified xsi:type="dcterms:W3CDTF">2018-07-04T11:50:00Z</dcterms:modified>
</cp:coreProperties>
</file>